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210"/>
        <w:jc w:val="center"/>
        <w:rPr>
          <w:rFonts w:hint="eastAsia" w:ascii="黑体" w:hAnsi="黑体" w:eastAsia="黑体" w:cs="黑体"/>
          <w:sz w:val="36"/>
          <w:szCs w:val="36"/>
          <w:lang w:eastAsia="zh-CN"/>
        </w:rPr>
      </w:pPr>
      <w:r>
        <w:rPr>
          <w:rFonts w:hint="eastAsia" w:ascii="黑体" w:hAnsi="黑体" w:eastAsia="黑体" w:cs="黑体"/>
          <w:color w:val="auto"/>
          <w:sz w:val="36"/>
          <w:szCs w:val="36"/>
          <w:lang w:eastAsia="zh-CN"/>
        </w:rPr>
        <w:t>新疆伽师、三师广州之夜活动搭建服务项目</w:t>
      </w: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3"/>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3"/>
        <w:ind w:firstLine="210"/>
      </w:pPr>
    </w:p>
    <w:p>
      <w:pPr>
        <w:pStyle w:val="13"/>
        <w:ind w:firstLine="210"/>
      </w:pPr>
    </w:p>
    <w:p>
      <w:pPr>
        <w:pStyle w:val="13"/>
        <w:ind w:firstLine="210"/>
      </w:pPr>
    </w:p>
    <w:p>
      <w:pPr>
        <w:pStyle w:val="9"/>
        <w:spacing w:after="0" w:line="360" w:lineRule="auto"/>
        <w:rPr>
          <w:rFonts w:hint="eastAsia" w:ascii="宋体" w:hAnsi="宋体" w:eastAsia="宋体" w:cs="宋体"/>
          <w:b w:val="0"/>
          <w:bCs/>
          <w:color w:val="000000"/>
          <w:sz w:val="24"/>
          <w:szCs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spacing w:after="0" w:line="360" w:lineRule="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经认真阅读“</w:t>
      </w:r>
      <w:r>
        <w:rPr>
          <w:rFonts w:hint="eastAsia" w:cs="宋体"/>
          <w:b w:val="0"/>
          <w:bCs w:val="0"/>
          <w:color w:val="auto"/>
          <w:sz w:val="24"/>
          <w:szCs w:val="24"/>
          <w:lang w:eastAsia="zh-CN"/>
        </w:rPr>
        <w:t>新疆伽师、三师广州之夜活动搭建服务项目</w:t>
      </w:r>
      <w:r>
        <w:rPr>
          <w:rFonts w:hint="eastAsia" w:ascii="宋体" w:hAnsi="宋体" w:eastAsia="宋体" w:cs="宋体"/>
          <w:b w:val="0"/>
          <w:bCs/>
          <w:color w:val="000000"/>
          <w:sz w:val="24"/>
          <w:szCs w:val="24"/>
        </w:rPr>
        <w:t>”采购公告，我司符合本项目的资格条件，已完全了解采购公告相关内容，承诺按照采购公告的要求提供产品和服务。分项明细报价与总报价（单位：人民币元）如下：</w:t>
      </w:r>
    </w:p>
    <w:tbl>
      <w:tblPr>
        <w:tblStyle w:val="14"/>
        <w:tblW w:w="14874" w:type="dxa"/>
        <w:jc w:val="center"/>
        <w:tblLayout w:type="autofit"/>
        <w:tblCellMar>
          <w:top w:w="0" w:type="dxa"/>
          <w:left w:w="108" w:type="dxa"/>
          <w:bottom w:w="0" w:type="dxa"/>
          <w:right w:w="108" w:type="dxa"/>
        </w:tblCellMar>
      </w:tblPr>
      <w:tblGrid>
        <w:gridCol w:w="1080"/>
        <w:gridCol w:w="2300"/>
        <w:gridCol w:w="6391"/>
        <w:gridCol w:w="1134"/>
        <w:gridCol w:w="1276"/>
        <w:gridCol w:w="1417"/>
        <w:gridCol w:w="1276"/>
      </w:tblGrid>
      <w:tr>
        <w:tblPrEx>
          <w:tblCellMar>
            <w:top w:w="0" w:type="dxa"/>
            <w:left w:w="108" w:type="dxa"/>
            <w:bottom w:w="0" w:type="dxa"/>
            <w:right w:w="108" w:type="dxa"/>
          </w:tblCellMar>
        </w:tblPrEx>
        <w:trPr>
          <w:trHeight w:val="535" w:hRule="atLeast"/>
          <w:jc w:val="center"/>
        </w:trPr>
        <w:tc>
          <w:tcPr>
            <w:tcW w:w="1487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采购核价表</w:t>
            </w: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内容</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明细</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总价（元）</w:t>
            </w: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300" w:type="dxa"/>
            <w:vMerge w:val="restar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舞台区</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加厚黑底可移高清车贴画面异形裁型（8M*6.5M）</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8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双面背景板木结构内部加龙骨固定，背后支撑立柱，异形雕刻内部镂空藏灯带内发光，直径2M</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8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门型装饰铁架焊接表面包木结构，内部加龙骨固定，异形雕刻侧面发光灯带（尺寸：2M*1.5M  / 1.5M*1.2M各一个)</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水晶玻璃磨砂面发光月球造型（直径40cm）+实木支架（15cm）</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鲜花植物造景，面积约10㎡，包含鲜花、仙人掌、绿植、沙漠造景等</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木质高脚椅</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立式麦架+无线麦</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双十二专业远程线阵列音箱 反射式低音</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可伸缩灯光支架</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面光灯</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盏</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12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2300" w:type="dxa"/>
            <w:vMerge w:val="restar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打卡区</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木结构框架内部加龙骨固定，侧面加支撑，异形雕刻表面贴高清画面，外装LED彩色发光字灯带，尺寸：16.5M*3.5M*2M</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不锈钢围边，烤漆饰面，内藏LED灯发光立体字+底座（疆品南下 粤品北上）共8字，单字尺寸：0.5M*05M</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折叠露营椅</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装饰用木箱*1个、盆栽*1盆、冰桶*1个</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发光字</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船身两侧，不锈钢围边，烤漆饰面，内藏LED灯带无边发光字（疆品南下 粤品北上）*2套，单字尺寸：1.2*1.2米（特殊定制背架固定船扶手上）</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2300" w:type="dxa"/>
            <w:vMerge w:val="restart"/>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签到处</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桁架绷黑底灯布+支撑配重，尺寸：5M*3M*双面</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1.5米长条桌+蓝色桌布</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230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kern w:val="0"/>
                <w:szCs w:val="21"/>
              </w:rPr>
            </w:pP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宴会椅+椅套+蝴蝶结</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把</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大巴</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会场酒店接驳车，每辆次10小时以内，超时另算（55座位），含司机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辆次</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商务车</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会场酒店接驳车，每辆次10小时以内，超时另算（7座），含司机</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辆次</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86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表演</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包含邀请乐队表演（表演时长不少于2小时）、游戏互动（表演时长不少于2小时）、魔术表演（表演时长不少于1小时）、新疆特色舞蹈表演（表演时长不少于1小时）</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现场执行</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活动执行（项目人员）</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8</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人次</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2300" w:type="dxa"/>
            <w:tcBorders>
              <w:top w:val="nil"/>
              <w:left w:val="nil"/>
              <w:bottom w:val="single" w:color="000000" w:sz="8" w:space="0"/>
              <w:right w:val="single" w:color="000000" w:sz="8" w:space="0"/>
            </w:tcBorders>
            <w:shd w:val="clear" w:color="auto" w:fill="auto"/>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活动策划</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整体活动策划、搭建物料方案、会务手册排版、修改调整等</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人工搭建+撤展</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布展、撤展</w:t>
            </w:r>
            <w:r>
              <w:rPr>
                <w:rFonts w:hint="eastAsia" w:ascii="宋体" w:hAnsi="宋体" w:eastAsia="宋体" w:cs="宋体"/>
                <w:color w:val="000000"/>
                <w:kern w:val="0"/>
                <w:szCs w:val="21"/>
                <w:lang w:val="en-US" w:eastAsia="zh-CN"/>
              </w:rPr>
              <w:t>人工费用</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物料运输费用</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布展、撤展、运送物资物料等</w:t>
            </w:r>
            <w:r>
              <w:rPr>
                <w:rFonts w:hint="eastAsia" w:ascii="宋体" w:hAnsi="宋体" w:eastAsia="宋体" w:cs="宋体"/>
                <w:color w:val="000000"/>
                <w:kern w:val="0"/>
                <w:szCs w:val="21"/>
                <w:lang w:val="en-US" w:eastAsia="zh-CN"/>
              </w:rPr>
              <w:t>运输费用</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珠江夜游船费</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红花郎号珠江夜游船费，时长3小时</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游船自助餐</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自助餐248元/人，按100人次计</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游船烧烤</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烧烤80元/人，按60人次计</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230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码头场地费及停车费</w:t>
            </w:r>
          </w:p>
        </w:tc>
        <w:tc>
          <w:tcPr>
            <w:tcW w:w="6391"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码头停车费用及签到处场地租赁费用</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600" w:hRule="atLeast"/>
          <w:jc w:val="center"/>
        </w:trPr>
        <w:tc>
          <w:tcPr>
            <w:tcW w:w="13598" w:type="dxa"/>
            <w:gridSpan w:val="6"/>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Cs w:val="21"/>
              </w:rPr>
            </w:pPr>
          </w:p>
        </w:tc>
      </w:tr>
    </w:tbl>
    <w:p>
      <w:pPr>
        <w:spacing w:before="156" w:beforeLines="50" w:after="156" w:afterLines="50" w:line="700" w:lineRule="exact"/>
        <w:rPr>
          <w:rFonts w:ascii="仿宋_GB2312" w:hAnsi="仿宋_GB2312" w:eastAsia="仿宋_GB2312" w:cs="仿宋_GB2312"/>
          <w:sz w:val="32"/>
          <w:szCs w:val="32"/>
        </w:rPr>
      </w:pPr>
    </w:p>
    <w:p>
      <w:pPr>
        <w:rPr>
          <w:rFonts w:hint="eastAsia"/>
        </w:rPr>
      </w:pPr>
    </w:p>
    <w:p>
      <w:pPr>
        <w:pStyle w:val="9"/>
        <w:spacing w:after="0" w:line="360" w:lineRule="auto"/>
        <w:rPr>
          <w:rFonts w:hint="eastAsia" w:ascii="宋体" w:hAnsi="宋体" w:eastAsia="宋体" w:cs="宋体"/>
          <w:b w:val="0"/>
          <w:bCs/>
          <w:color w:val="000000"/>
          <w:sz w:val="24"/>
          <w:szCs w:val="24"/>
        </w:rPr>
      </w:pPr>
    </w:p>
    <w:p>
      <w:pPr>
        <w:pStyle w:val="9"/>
        <w:spacing w:after="0" w:line="360" w:lineRule="auto"/>
        <w:ind w:firstLine="480" w:firstLineChars="200"/>
        <w:rPr>
          <w:rFonts w:hint="eastAsia" w:ascii="宋体" w:hAnsi="宋体" w:eastAsia="宋体" w:cs="宋体"/>
          <w:b w:val="0"/>
          <w:bCs/>
          <w:color w:val="000000"/>
          <w:sz w:val="24"/>
          <w:szCs w:val="24"/>
        </w:rPr>
      </w:pPr>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
          <w:color w:val="000000"/>
          <w:kern w:val="0"/>
          <w:sz w:val="24"/>
        </w:rPr>
      </w:pP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hint="eastAsia" w:ascii="Times New Roman" w:hAnsi="Times New Roman"/>
          <w:b/>
          <w:color w:val="000000"/>
          <w:sz w:val="28"/>
          <w:szCs w:val="28"/>
        </w:rPr>
        <w:sectPr>
          <w:pgSz w:w="16838" w:h="11906" w:orient="landscape"/>
          <w:pgMar w:top="1800" w:right="1440" w:bottom="1800" w:left="1440" w:header="851" w:footer="992" w:gutter="0"/>
          <w:pgNumType w:start="1"/>
          <w:cols w:space="425" w:num="1"/>
          <w:docGrid w:type="lines" w:linePitch="312" w:charSpace="0"/>
        </w:sectPr>
      </w:pPr>
      <w:bookmarkStart w:id="0" w:name="_Toc54357656"/>
      <w:bookmarkStart w:id="1" w:name="_Toc475472674"/>
      <w:bookmarkStart w:id="2" w:name="_Toc1651899"/>
    </w:p>
    <w:p>
      <w:pPr>
        <w:spacing w:line="400" w:lineRule="exact"/>
        <w:jc w:val="center"/>
        <w:rPr>
          <w:rFonts w:ascii="仿宋" w:hAnsi="仿宋" w:eastAsia="仿宋" w:cs="仿宋"/>
          <w:b/>
          <w:bCs/>
          <w:color w:val="000000"/>
          <w:sz w:val="28"/>
          <w:szCs w:val="28"/>
        </w:rPr>
      </w:pPr>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3"/>
      </w:pP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2、有依法缴纳税收和社会保障资金的良好记录：提供截止日前6个月内任意1个月依法缴纳税收和社会保障资金的相关材料。如依法免税或不需要缴纳社会保障资金的，提供相应证明材料。</w:t>
      </w:r>
    </w:p>
    <w:p>
      <w:pPr>
        <w:pStyle w:val="3"/>
        <w:ind w:firstLine="0"/>
      </w:pPr>
    </w:p>
    <w:p>
      <w:pPr>
        <w:pStyle w:val="2"/>
        <w:ind w:firstLine="560" w:firstLineChars="200"/>
      </w:pPr>
      <w:r>
        <w:rPr>
          <w:rFonts w:ascii="仿宋" w:hAnsi="仿宋" w:eastAsia="仿宋" w:cs="仿宋"/>
          <w:b w:val="0"/>
          <w:bCs/>
          <w:sz w:val="28"/>
          <w:szCs w:val="28"/>
        </w:rPr>
        <w:t>3、参加采购活动前3年内，在经营活动中没有重大违法记录。可在国家企业信用信息公示系统查询后截图打印，网址：</w:t>
      </w:r>
      <w:r>
        <w:fldChar w:fldCharType="begin"/>
      </w:r>
      <w:r>
        <w:instrText xml:space="preserve"> HYPERLINK "http://www.gsxt.gov.cn/index.html）" </w:instrText>
      </w:r>
      <w:r>
        <w:fldChar w:fldCharType="separate"/>
      </w:r>
      <w:r>
        <w:rPr>
          <w:rFonts w:ascii="仿宋" w:hAnsi="仿宋" w:eastAsia="仿宋" w:cs="仿宋"/>
          <w:b w:val="0"/>
          <w:bCs/>
          <w:sz w:val="28"/>
          <w:szCs w:val="28"/>
        </w:rPr>
        <w:t>http://www.gsxt.gov.cn/index.html）</w:t>
      </w:r>
      <w:r>
        <w:rPr>
          <w:rFonts w:ascii="仿宋" w:hAnsi="仿宋" w:eastAsia="仿宋" w:cs="仿宋"/>
          <w:b w:val="0"/>
          <w:bCs/>
          <w:sz w:val="28"/>
          <w:szCs w:val="28"/>
        </w:rPr>
        <w:fldChar w:fldCharType="end"/>
      </w:r>
    </w:p>
    <w:p>
      <w:pPr>
        <w:pStyle w:val="2"/>
        <w:ind w:firstLine="560" w:firstLineChars="200"/>
        <w:rPr>
          <w:rFonts w:ascii="仿宋" w:hAnsi="仿宋" w:eastAsia="仿宋" w:cs="仿宋"/>
          <w:b w:val="0"/>
          <w:bCs/>
          <w:sz w:val="28"/>
          <w:szCs w:val="28"/>
        </w:rPr>
      </w:pPr>
    </w:p>
    <w:p>
      <w:pPr>
        <w:pStyle w:val="2"/>
        <w:ind w:firstLine="560" w:firstLineChars="200"/>
        <w:rPr>
          <w:rFonts w:hint="default" w:ascii="仿宋" w:hAnsi="仿宋" w:eastAsia="仿宋" w:cs="仿宋"/>
          <w:b w:val="0"/>
          <w:bCs/>
          <w:sz w:val="28"/>
          <w:szCs w:val="28"/>
        </w:rPr>
      </w:pPr>
      <w:r>
        <w:rPr>
          <w:rFonts w:ascii="仿宋" w:hAnsi="仿宋" w:eastAsia="仿宋" w:cs="仿宋"/>
          <w:b w:val="0"/>
          <w:bCs/>
          <w:sz w:val="28"/>
          <w:szCs w:val="28"/>
        </w:rPr>
        <w:t>4、单位负责人为同一人或者存在直接控股、管理关系的不同供应商，不得同时参加本采购项目。</w:t>
      </w:r>
    </w:p>
    <w:p>
      <w:pPr>
        <w:pStyle w:val="2"/>
        <w:ind w:firstLine="560" w:firstLineChars="200"/>
        <w:rPr>
          <w:rFonts w:hint="default" w:ascii="仿宋" w:hAnsi="仿宋" w:eastAsia="仿宋" w:cs="仿宋"/>
          <w:b w:val="0"/>
          <w:bCs/>
          <w:sz w:val="28"/>
          <w:szCs w:val="28"/>
        </w:rPr>
      </w:pPr>
    </w:p>
    <w:p>
      <w:pPr>
        <w:pStyle w:val="2"/>
        <w:ind w:firstLine="560" w:firstLineChars="200"/>
        <w:rPr>
          <w:rFonts w:hint="default" w:ascii="仿宋" w:hAnsi="仿宋" w:eastAsia="仿宋" w:cs="仿宋"/>
          <w:b w:val="0"/>
          <w:bCs/>
          <w:sz w:val="28"/>
          <w:szCs w:val="28"/>
        </w:rPr>
      </w:pPr>
      <w:r>
        <w:rPr>
          <w:rFonts w:hint="default" w:ascii="仿宋" w:hAnsi="仿宋" w:eastAsia="仿宋" w:cs="仿宋"/>
          <w:b w:val="0"/>
          <w:bCs/>
          <w:sz w:val="28"/>
          <w:szCs w:val="28"/>
        </w:rPr>
        <w:t>5、供应商需提供自2020年至今相关案例至少</w:t>
      </w:r>
      <w:r>
        <w:rPr>
          <w:rFonts w:hint="eastAsia" w:ascii="仿宋" w:hAnsi="仿宋" w:eastAsia="仿宋" w:cs="仿宋"/>
          <w:b w:val="0"/>
          <w:bCs/>
          <w:sz w:val="28"/>
          <w:szCs w:val="28"/>
          <w:lang w:val="en-US" w:eastAsia="zh-CN"/>
        </w:rPr>
        <w:t>3</w:t>
      </w:r>
      <w:r>
        <w:rPr>
          <w:rFonts w:hint="default" w:ascii="仿宋" w:hAnsi="仿宋" w:eastAsia="仿宋" w:cs="仿宋"/>
          <w:b w:val="0"/>
          <w:bCs/>
          <w:sz w:val="28"/>
          <w:szCs w:val="28"/>
        </w:rPr>
        <w:t>个。</w:t>
      </w:r>
    </w:p>
    <w:p>
      <w:pPr>
        <w:pStyle w:val="11"/>
        <w:widowControl/>
        <w:spacing w:beforeAutospacing="0" w:after="0" w:afterAutospacing="0" w:line="520" w:lineRule="exact"/>
        <w:jc w:val="both"/>
        <w:rPr>
          <w:rFonts w:hint="eastAsia" w:ascii="Times New Roman" w:hAnsi="Times New Roman"/>
          <w:b/>
          <w:color w:val="000000"/>
          <w:kern w:val="2"/>
          <w:sz w:val="28"/>
          <w:szCs w:val="28"/>
        </w:rPr>
      </w:pPr>
    </w:p>
    <w:bookmarkEnd w:id="0"/>
    <w:bookmarkEnd w:id="1"/>
    <w:bookmarkEnd w:id="2"/>
    <w:p>
      <w:pPr>
        <w:jc w:val="center"/>
        <w:rPr>
          <w:rFonts w:ascii="Times New Roman" w:hAnsi="Times New Roman" w:cs="Times New Roman"/>
          <w:b/>
          <w:color w:val="000000"/>
          <w:sz w:val="28"/>
          <w:szCs w:val="28"/>
        </w:rPr>
      </w:pPr>
      <w:r>
        <w:rPr>
          <w:rFonts w:hint="eastAsia" w:ascii="Times New Roman" w:hAnsi="Times New Roman"/>
          <w:b/>
          <w:color w:val="000000"/>
          <w:kern w:val="2"/>
          <w:sz w:val="28"/>
          <w:szCs w:val="28"/>
        </w:rPr>
        <w:t>三、</w:t>
      </w:r>
      <w:r>
        <w:rPr>
          <w:rFonts w:ascii="Times New Roman" w:hAnsi="Times New Roman" w:cs="Times New Roman"/>
          <w:b/>
          <w:color w:val="000000"/>
          <w:sz w:val="28"/>
          <w:szCs w:val="28"/>
        </w:rPr>
        <w:t>报价承诺书</w:t>
      </w:r>
    </w:p>
    <w:p>
      <w:pPr>
        <w:pStyle w:val="9"/>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2"/>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lang w:val="en-US" w:eastAsia="zh-CN"/>
        </w:rPr>
        <w:t>四</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lang w:val="en-US" w:eastAsia="zh-CN"/>
        </w:rPr>
        <w:t>五</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19"/>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color w:val="000000"/>
          <w:sz w:val="24"/>
          <w:szCs w:val="24"/>
          <w:lang w:eastAsia="zh-CN"/>
        </w:rPr>
        <w:t>新疆伽师、三师广州之夜活动搭建服务项目</w:t>
      </w:r>
      <w:r>
        <w:rPr>
          <w:rFonts w:ascii="Times New Roman" w:hAnsi="Times New Roman" w:cs="Times New Roman"/>
          <w:color w:val="000000"/>
          <w:sz w:val="24"/>
          <w:szCs w:val="24"/>
        </w:rPr>
        <w:t>】的【洽谈、签约、项目服务联络等】事宜。</w:t>
      </w:r>
      <w:bookmarkStart w:id="3" w:name="_GoBack"/>
      <w:bookmarkEnd w:id="3"/>
    </w:p>
    <w:p>
      <w:pPr>
        <w:pStyle w:val="19"/>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19"/>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7"/>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7"/>
        <w:spacing w:after="0" w:line="360" w:lineRule="auto"/>
        <w:rPr>
          <w:rFonts w:ascii="Times New Roman" w:hAnsi="Times New Roman" w:cs="Times New Roman"/>
          <w:color w:val="000000"/>
          <w:sz w:val="24"/>
          <w:szCs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7"/>
        <w:spacing w:after="0" w:line="360" w:lineRule="auto"/>
        <w:rPr>
          <w:rFonts w:ascii="Times New Roman" w:hAnsi="Times New Roman" w:cs="Times New Roman"/>
          <w:color w:val="000000"/>
          <w:sz w:val="24"/>
          <w:szCs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3"/>
        <w:ind w:firstLine="210"/>
      </w:pPr>
    </w:p>
    <w:p>
      <w:pPr>
        <w:pStyle w:val="13"/>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p>
      <w:pPr>
        <w:pStyle w:val="13"/>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3"/>
        <w:ind w:firstLine="280"/>
        <w:jc w:val="center"/>
        <w:rPr>
          <w:rFonts w:ascii="Times New Roman" w:hAnsi="Times New Roman"/>
          <w:b/>
          <w:bCs/>
          <w:sz w:val="28"/>
          <w:szCs w:val="28"/>
        </w:rPr>
      </w:pPr>
      <w:r>
        <w:rPr>
          <w:rFonts w:hint="eastAsia" w:ascii="Times New Roman" w:hAnsi="Times New Roman"/>
          <w:b/>
          <w:bCs/>
          <w:sz w:val="28"/>
          <w:szCs w:val="28"/>
          <w:lang w:val="en-US" w:eastAsia="zh-CN"/>
        </w:rPr>
        <w:t>六</w:t>
      </w:r>
      <w:r>
        <w:rPr>
          <w:rFonts w:hint="eastAsia" w:ascii="Times New Roman" w:hAnsi="Times New Roman"/>
          <w:b/>
          <w:bCs/>
          <w:sz w:val="28"/>
          <w:szCs w:val="28"/>
        </w:rPr>
        <w:t>、同类项目经验</w:t>
      </w:r>
    </w:p>
    <w:p>
      <w:pPr>
        <w:pStyle w:val="13"/>
        <w:ind w:firstLine="0" w:firstLineChars="0"/>
        <w:jc w:val="center"/>
        <w:rPr>
          <w:rFonts w:ascii="Times New Roman" w:hAnsi="Times New Roman" w:cs="Times New Roman"/>
          <w:bCs/>
          <w:sz w:val="24"/>
        </w:rPr>
      </w:pPr>
      <w:r>
        <w:rPr>
          <w:rFonts w:hint="eastAsia" w:ascii="仿宋" w:hAnsi="仿宋" w:eastAsia="仿宋" w:cs="仿宋"/>
          <w:bCs/>
          <w:kern w:val="0"/>
          <w:sz w:val="28"/>
          <w:szCs w:val="28"/>
        </w:rPr>
        <w:t>（供应商需提供202</w:t>
      </w:r>
      <w:r>
        <w:rPr>
          <w:rFonts w:hint="eastAsia" w:ascii="仿宋" w:hAnsi="仿宋" w:eastAsia="仿宋" w:cs="仿宋"/>
          <w:bCs/>
          <w:kern w:val="0"/>
          <w:sz w:val="28"/>
          <w:szCs w:val="28"/>
          <w:lang w:val="en-US" w:eastAsia="zh-CN"/>
        </w:rPr>
        <w:t>0</w:t>
      </w:r>
      <w:r>
        <w:rPr>
          <w:rFonts w:hint="eastAsia" w:ascii="仿宋" w:hAnsi="仿宋" w:eastAsia="仿宋" w:cs="仿宋"/>
          <w:bCs/>
          <w:kern w:val="0"/>
          <w:sz w:val="28"/>
          <w:szCs w:val="28"/>
        </w:rPr>
        <w:t>年至今相关案例至少</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个，供应商需根据评审标准相关要求，提供合同或协议文件复印件，加盖公章。）</w:t>
      </w: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pStyle w:val="13"/>
        <w:ind w:firstLine="280"/>
        <w:jc w:val="center"/>
        <w:rPr>
          <w:rFonts w:hint="eastAsia" w:ascii="Times New Roman" w:hAnsi="Times New Roman"/>
          <w:b/>
          <w:bCs/>
          <w:sz w:val="28"/>
          <w:szCs w:val="28"/>
        </w:rPr>
      </w:pPr>
      <w:r>
        <w:rPr>
          <w:rFonts w:hint="eastAsia" w:ascii="Times New Roman" w:hAnsi="Times New Roman"/>
          <w:b/>
          <w:bCs/>
          <w:sz w:val="28"/>
          <w:szCs w:val="28"/>
          <w:lang w:val="en-US" w:eastAsia="zh-CN"/>
        </w:rPr>
        <w:t>七</w:t>
      </w:r>
      <w:r>
        <w:rPr>
          <w:rFonts w:hint="eastAsia" w:ascii="Times New Roman" w:hAnsi="Times New Roman"/>
          <w:b/>
          <w:bCs/>
          <w:sz w:val="28"/>
          <w:szCs w:val="28"/>
        </w:rPr>
        <w:t>、项目</w:t>
      </w:r>
      <w:r>
        <w:rPr>
          <w:rFonts w:hint="eastAsia" w:ascii="Times New Roman" w:hAnsi="Times New Roman"/>
          <w:b/>
          <w:bCs/>
          <w:sz w:val="28"/>
          <w:szCs w:val="28"/>
          <w:lang w:val="en-US" w:eastAsia="zh-CN"/>
        </w:rPr>
        <w:t>搭建</w:t>
      </w:r>
      <w:r>
        <w:rPr>
          <w:rFonts w:hint="eastAsia" w:ascii="Times New Roman" w:hAnsi="Times New Roman"/>
          <w:b/>
          <w:bCs/>
          <w:sz w:val="28"/>
          <w:szCs w:val="28"/>
        </w:rPr>
        <w:t>执行</w:t>
      </w:r>
      <w:r>
        <w:rPr>
          <w:rFonts w:hint="eastAsia" w:ascii="Times New Roman" w:hAnsi="Times New Roman"/>
          <w:b/>
          <w:bCs/>
          <w:sz w:val="28"/>
          <w:szCs w:val="28"/>
          <w:lang w:val="en-US" w:eastAsia="zh-CN"/>
        </w:rPr>
        <w:t>服务</w:t>
      </w:r>
      <w:r>
        <w:rPr>
          <w:rFonts w:hint="eastAsia" w:ascii="Times New Roman" w:hAnsi="Times New Roman"/>
          <w:b/>
          <w:bCs/>
          <w:sz w:val="28"/>
          <w:szCs w:val="28"/>
        </w:rPr>
        <w:t>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w:t>
      </w:r>
      <w:r>
        <w:rPr>
          <w:rFonts w:hint="eastAsia" w:ascii="仿宋" w:hAnsi="仿宋" w:eastAsia="仿宋" w:cs="仿宋"/>
          <w:bCs/>
          <w:kern w:val="0"/>
          <w:sz w:val="28"/>
          <w:szCs w:val="28"/>
          <w:lang w:val="en-US" w:eastAsia="zh-CN"/>
        </w:rPr>
        <w:t>搭建执行</w:t>
      </w:r>
      <w:r>
        <w:rPr>
          <w:rFonts w:hint="eastAsia" w:ascii="仿宋" w:hAnsi="仿宋" w:eastAsia="仿宋" w:cs="仿宋"/>
          <w:bCs/>
          <w:kern w:val="0"/>
          <w:sz w:val="28"/>
          <w:szCs w:val="28"/>
        </w:rPr>
        <w:t>方案、</w:t>
      </w:r>
      <w:r>
        <w:rPr>
          <w:rFonts w:hint="eastAsia" w:ascii="仿宋" w:hAnsi="仿宋" w:eastAsia="仿宋" w:cs="仿宋"/>
          <w:bCs/>
          <w:kern w:val="0"/>
          <w:sz w:val="28"/>
          <w:szCs w:val="28"/>
          <w:lang w:val="en-US" w:eastAsia="zh-CN"/>
        </w:rPr>
        <w:t>服务方案，</w:t>
      </w:r>
      <w:r>
        <w:rPr>
          <w:rFonts w:hint="eastAsia" w:ascii="仿宋" w:hAnsi="仿宋" w:eastAsia="仿宋" w:cs="仿宋"/>
          <w:bCs/>
          <w:kern w:val="0"/>
          <w:sz w:val="28"/>
          <w:szCs w:val="28"/>
        </w:rPr>
        <w:t>格式自拟）</w:t>
      </w:r>
    </w:p>
    <w:p>
      <w:pPr>
        <w:pStyle w:val="13"/>
        <w:ind w:firstLine="280"/>
        <w:jc w:val="center"/>
        <w:rPr>
          <w:rFonts w:hint="eastAsia" w:ascii="Times New Roman" w:hAnsi="Times New Roman"/>
          <w:b/>
          <w:bCs/>
          <w:sz w:val="28"/>
          <w:szCs w:val="28"/>
        </w:rPr>
      </w:pPr>
    </w:p>
    <w:p>
      <w:pPr>
        <w:pStyle w:val="13"/>
        <w:ind w:firstLine="280"/>
        <w:jc w:val="center"/>
        <w:rPr>
          <w:rFonts w:ascii="Times New Roman" w:hAnsi="Times New Roman"/>
          <w:b/>
          <w:bCs/>
          <w:sz w:val="28"/>
          <w:szCs w:val="28"/>
        </w:rPr>
      </w:pPr>
    </w:p>
    <w:p>
      <w:pPr>
        <w:pStyle w:val="13"/>
        <w:ind w:firstLine="280"/>
        <w:jc w:val="center"/>
        <w:rPr>
          <w:rFonts w:ascii="Times New Roman" w:hAnsi="Times New Roman"/>
          <w:b/>
          <w:bCs/>
          <w:sz w:val="28"/>
          <w:szCs w:val="28"/>
        </w:rPr>
      </w:pPr>
    </w:p>
    <w:p/>
    <w:p>
      <w:pPr>
        <w:pStyle w:val="2"/>
      </w:pPr>
    </w:p>
    <w:p>
      <w:pPr>
        <w:pStyle w:val="3"/>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13"/>
        <w:ind w:firstLine="280"/>
        <w:jc w:val="center"/>
        <w:rPr>
          <w:rFonts w:hint="eastAsia" w:ascii="Times New Roman" w:hAnsi="Times New Roman"/>
          <w:b/>
          <w:bCs/>
          <w:sz w:val="28"/>
          <w:szCs w:val="28"/>
        </w:rPr>
      </w:pPr>
      <w:r>
        <w:rPr>
          <w:rFonts w:hint="eastAsia" w:ascii="Times New Roman" w:hAnsi="Times New Roman"/>
          <w:b/>
          <w:bCs/>
          <w:sz w:val="28"/>
          <w:szCs w:val="28"/>
          <w:lang w:val="en-US" w:eastAsia="zh-CN"/>
        </w:rPr>
        <w:t>八</w:t>
      </w:r>
      <w:r>
        <w:rPr>
          <w:rFonts w:hint="eastAsia" w:ascii="Times New Roman" w:hAnsi="Times New Roman"/>
          <w:b/>
          <w:bCs/>
          <w:sz w:val="28"/>
          <w:szCs w:val="28"/>
        </w:rPr>
        <w:t>、</w:t>
      </w:r>
      <w:r>
        <w:rPr>
          <w:rFonts w:hint="eastAsia" w:ascii="Times New Roman" w:hAnsi="Times New Roman"/>
          <w:b/>
          <w:bCs/>
          <w:sz w:val="28"/>
          <w:szCs w:val="28"/>
          <w:lang w:val="en-US" w:eastAsia="zh-CN"/>
        </w:rPr>
        <w:t>应急保障</w:t>
      </w:r>
      <w:r>
        <w:rPr>
          <w:rFonts w:hint="eastAsia" w:ascii="Times New Roman" w:hAnsi="Times New Roman"/>
          <w:b/>
          <w:bCs/>
          <w:sz w:val="28"/>
          <w:szCs w:val="28"/>
        </w:rPr>
        <w:t>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w:t>
      </w:r>
      <w:r>
        <w:rPr>
          <w:rFonts w:hint="eastAsia" w:ascii="仿宋" w:hAnsi="仿宋" w:eastAsia="仿宋" w:cs="仿宋"/>
          <w:bCs/>
          <w:kern w:val="0"/>
          <w:sz w:val="28"/>
          <w:szCs w:val="28"/>
          <w:lang w:val="en-US" w:eastAsia="zh-CN"/>
        </w:rPr>
        <w:t>应急保障</w:t>
      </w:r>
      <w:r>
        <w:rPr>
          <w:rFonts w:hint="eastAsia" w:ascii="仿宋" w:hAnsi="仿宋" w:eastAsia="仿宋" w:cs="仿宋"/>
          <w:bCs/>
          <w:kern w:val="0"/>
          <w:sz w:val="28"/>
          <w:szCs w:val="28"/>
        </w:rPr>
        <w:t>方案</w:t>
      </w:r>
      <w:r>
        <w:rPr>
          <w:rFonts w:hint="eastAsia" w:ascii="仿宋" w:hAnsi="仿宋" w:eastAsia="仿宋" w:cs="仿宋"/>
          <w:bCs/>
          <w:kern w:val="0"/>
          <w:sz w:val="28"/>
          <w:szCs w:val="28"/>
          <w:lang w:val="en-US" w:eastAsia="zh-CN"/>
        </w:rPr>
        <w:t>，</w:t>
      </w:r>
      <w:r>
        <w:rPr>
          <w:rFonts w:hint="eastAsia" w:ascii="仿宋" w:hAnsi="仿宋" w:eastAsia="仿宋" w:cs="仿宋"/>
          <w:bCs/>
          <w:kern w:val="0"/>
          <w:sz w:val="28"/>
          <w:szCs w:val="28"/>
        </w:rPr>
        <w:t>格式自拟）</w:t>
      </w:r>
    </w:p>
    <w:p>
      <w:pPr>
        <w:pStyle w:val="4"/>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645764"/>
    <w:rsid w:val="107D3CC1"/>
    <w:rsid w:val="10B10404"/>
    <w:rsid w:val="10C220A3"/>
    <w:rsid w:val="10C70FB9"/>
    <w:rsid w:val="10DF0C28"/>
    <w:rsid w:val="10F35841"/>
    <w:rsid w:val="10FA3D0C"/>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7673C9"/>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A67F0"/>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02993"/>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D11BDA"/>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7401FB"/>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0695A"/>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0574A"/>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C75F1"/>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164BF8"/>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C3F87"/>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17459"/>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37C4D"/>
    <w:rsid w:val="71777A76"/>
    <w:rsid w:val="717847D2"/>
    <w:rsid w:val="71794835"/>
    <w:rsid w:val="71814499"/>
    <w:rsid w:val="71895BC9"/>
    <w:rsid w:val="71C0022D"/>
    <w:rsid w:val="71CE18BD"/>
    <w:rsid w:val="71D11460"/>
    <w:rsid w:val="71D9671A"/>
    <w:rsid w:val="71DD7CD4"/>
    <w:rsid w:val="71F02D65"/>
    <w:rsid w:val="71F5393B"/>
    <w:rsid w:val="724D6106"/>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883716"/>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2">
    <w:name w:val="heading 2"/>
    <w:basedOn w:val="1"/>
    <w:next w:val="3"/>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4">
    <w:name w:val="HTML Address"/>
    <w:basedOn w:val="1"/>
    <w:qFormat/>
    <w:uiPriority w:val="0"/>
    <w:rPr>
      <w:i/>
      <w:iCs/>
    </w:rPr>
  </w:style>
  <w:style w:type="paragraph" w:styleId="5">
    <w:name w:val="Body Text"/>
    <w:basedOn w:val="1"/>
    <w:next w:val="6"/>
    <w:qFormat/>
    <w:uiPriority w:val="0"/>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Plain Text"/>
    <w:basedOn w:val="1"/>
    <w:qFormat/>
    <w:uiPriority w:val="0"/>
    <w:rPr>
      <w:rFonts w:ascii="宋体" w:hAnsi="Courier New"/>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0">
    <w:name w:val="toc 2"/>
    <w:basedOn w:val="1"/>
    <w:next w:val="1"/>
    <w:qFormat/>
    <w:uiPriority w:val="0"/>
    <w:pPr>
      <w:spacing w:beforeLines="50" w:afterLines="50" w:line="360" w:lineRule="auto"/>
      <w:ind w:left="200"/>
    </w:pPr>
    <w:rPr>
      <w:smallCap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w:basedOn w:val="5"/>
    <w:qFormat/>
    <w:uiPriority w:val="0"/>
    <w:pPr>
      <w:ind w:firstLine="420" w:firstLineChars="100"/>
    </w:pPr>
  </w:style>
  <w:style w:type="table" w:styleId="15">
    <w:name w:val="Table Theme"/>
    <w:basedOn w:val="14"/>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首行缩进 21"/>
    <w:basedOn w:val="18"/>
    <w:next w:val="1"/>
    <w:qFormat/>
    <w:uiPriority w:val="0"/>
  </w:style>
  <w:style w:type="paragraph" w:customStyle="1" w:styleId="18">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19">
    <w:name w:val="1"/>
    <w:basedOn w:val="1"/>
    <w:next w:val="7"/>
    <w:qFormat/>
    <w:uiPriority w:val="0"/>
    <w:rPr>
      <w:rFonts w:ascii="宋体" w:hAnsi="Courier New"/>
      <w:szCs w:val="20"/>
    </w:rPr>
  </w:style>
  <w:style w:type="character" w:customStyle="1" w:styleId="20">
    <w:name w:val="font41"/>
    <w:basedOn w:val="16"/>
    <w:qFormat/>
    <w:uiPriority w:val="0"/>
    <w:rPr>
      <w:rFonts w:hint="eastAsia" w:ascii="微软雅黑" w:hAnsi="微软雅黑" w:eastAsia="微软雅黑" w:cs="微软雅黑"/>
      <w:color w:val="000000"/>
      <w:sz w:val="24"/>
      <w:szCs w:val="24"/>
      <w:u w:val="none"/>
    </w:rPr>
  </w:style>
  <w:style w:type="character" w:customStyle="1" w:styleId="21">
    <w:name w:val="font31"/>
    <w:basedOn w:val="16"/>
    <w:qFormat/>
    <w:uiPriority w:val="0"/>
    <w:rPr>
      <w:rFonts w:hint="eastAsia" w:ascii="微软雅黑" w:hAnsi="微软雅黑" w:eastAsia="微软雅黑" w:cs="微软雅黑"/>
      <w:color w:val="000000"/>
      <w:sz w:val="24"/>
      <w:szCs w:val="24"/>
      <w:u w:val="none"/>
    </w:rPr>
  </w:style>
  <w:style w:type="character" w:customStyle="1" w:styleId="22">
    <w:name w:val="font71"/>
    <w:basedOn w:val="16"/>
    <w:qFormat/>
    <w:uiPriority w:val="0"/>
    <w:rPr>
      <w:rFonts w:hint="eastAsia" w:ascii="微软雅黑" w:hAnsi="微软雅黑" w:eastAsia="微软雅黑" w:cs="微软雅黑"/>
      <w:color w:val="FF0000"/>
      <w:sz w:val="24"/>
      <w:szCs w:val="24"/>
      <w:u w:val="none"/>
    </w:rPr>
  </w:style>
  <w:style w:type="character" w:customStyle="1" w:styleId="23">
    <w:name w:val="font61"/>
    <w:basedOn w:val="16"/>
    <w:qFormat/>
    <w:uiPriority w:val="0"/>
    <w:rPr>
      <w:rFonts w:hint="eastAsia" w:ascii="微软雅黑" w:hAnsi="微软雅黑" w:eastAsia="微软雅黑" w:cs="微软雅黑"/>
      <w:color w:val="000000"/>
      <w:sz w:val="24"/>
      <w:szCs w:val="24"/>
      <w:u w:val="none"/>
    </w:rPr>
  </w:style>
  <w:style w:type="character" w:customStyle="1" w:styleId="24">
    <w:name w:val="font01"/>
    <w:basedOn w:val="16"/>
    <w:qFormat/>
    <w:uiPriority w:val="0"/>
    <w:rPr>
      <w:rFonts w:hint="default" w:ascii="方正仿宋_GB2312" w:hAnsi="方正仿宋_GB2312" w:eastAsia="方正仿宋_GB2312" w:cs="方正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2325</Words>
  <Characters>2480</Characters>
  <Lines>28</Lines>
  <Paragraphs>8</Paragraphs>
  <TotalTime>7</TotalTime>
  <ScaleCrop>false</ScaleCrop>
  <LinksUpToDate>false</LinksUpToDate>
  <CharactersWithSpaces>2685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2023-11-10T07:44:00Z</cp:lastPrinted>
  <dcterms:modified xsi:type="dcterms:W3CDTF">2023-11-30T02:40:57Z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