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附件：报价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函</w:t>
      </w:r>
      <w:r>
        <w:rPr>
          <w:rFonts w:hint="eastAsia" w:ascii="仿宋_GB2312" w:eastAsia="仿宋_GB2312"/>
          <w:b/>
          <w:sz w:val="32"/>
          <w:szCs w:val="32"/>
        </w:rPr>
        <w:t>（请在自愿情况下，按模版格式填写并加盖法人公章报价。）</w:t>
      </w:r>
    </w:p>
    <w:p>
      <w:pPr>
        <w:spacing w:line="520" w:lineRule="exact"/>
        <w:jc w:val="left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报 价 函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广东南方日报经营有限公司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ind w:firstLine="627" w:firstLineChars="196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根据贵公司的采购询价函，我公司承诺按贵公司采购询价函的要求和条款履行，现报价如下：</w:t>
      </w:r>
    </w:p>
    <w:p/>
    <w:tbl>
      <w:tblPr>
        <w:tblStyle w:val="4"/>
        <w:tblW w:w="9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63"/>
        <w:gridCol w:w="1300"/>
        <w:gridCol w:w="2600"/>
        <w:gridCol w:w="712"/>
        <w:gridCol w:w="738"/>
        <w:gridCol w:w="987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新媒体制作及风采展示拍摄项目</w:t>
            </w:r>
            <w:bookmarkEnd w:id="0"/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分类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规格与要求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新媒体制作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视频直播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选取周末或周日晚上的黄金时段，在主流网络平台对“新时代好少年”先进事迹发布会进行全程网络直播，全程不少于70分钟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系列推文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撰写“新时代好少年”主题系列推文（含先进事迹发布会的网络直播预热推文），不少于20篇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风采展示拍摄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策划及拍摄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撰写策划方案、拍摄脚本，拍摄制作不少于6名新时代好少年代表的个人宣传片，每段视频不短于75秒（含拍摄过程中产生的物料费、交通费等成本费用）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总计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元，税率    %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（含税报价，按实际税率填报）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02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49C7"/>
    <w:rsid w:val="27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2023-12-04T02:01:00Z</dcterms:created>
  <dc:creator>zhangxia</dc:creator>
  <cp:lastModifiedBy>zhangxia</cp:lastModifiedBy>
  <dcterms:modified xsi:type="dcterms:W3CDTF">2023-12-04T02:01:32Z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