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bookmarkStart w:id="17" w:name="_GoBack"/>
      <w:r>
        <w:rPr>
          <w:rFonts w:hint="eastAsia" w:ascii="方正小标宋简体" w:hAnsi="方正小标宋简体" w:eastAsia="方正小标宋简体" w:cs="方正小标宋简体"/>
          <w:b/>
          <w:sz w:val="32"/>
          <w:szCs w:val="32"/>
          <w:lang w:val="en-US" w:eastAsia="zh-CN"/>
        </w:rPr>
        <w:t>附件三：评分标准</w:t>
      </w:r>
    </w:p>
    <w:bookmarkEnd w:id="17"/>
    <w:p>
      <w:pPr>
        <w:pStyle w:val="3"/>
        <w:spacing w:before="91" w:line="223" w:lineRule="auto"/>
        <w:ind w:left="558"/>
        <w:outlineLvl w:val="1"/>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3"/>
          <w:sz w:val="28"/>
          <w:szCs w:val="28"/>
          <w14:textOutline w14:w="5103" w14:cap="sq" w14:cmpd="sng">
            <w14:solidFill>
              <w14:srgbClr w14:val="000000"/>
            </w14:solidFill>
            <w14:prstDash w14:val="solid"/>
            <w14:bevel/>
          </w14:textOutline>
        </w:rPr>
        <w:t>（1）</w:t>
      </w:r>
      <w:r>
        <w:rPr>
          <w:rFonts w:hint="eastAsia" w:ascii="仿宋_GB2312" w:hAnsi="仿宋_GB2312" w:eastAsia="仿宋_GB2312" w:cs="仿宋_GB2312"/>
          <w:b w:val="0"/>
          <w:bCs w:val="0"/>
          <w:spacing w:val="-3"/>
          <w:sz w:val="28"/>
          <w:szCs w:val="28"/>
          <w14:textOutline w14:w="5103" w14:cap="sq" w14:cmpd="sng">
            <w14:solidFill>
              <w14:srgbClr w14:val="000000"/>
            </w14:solidFill>
            <w14:prstDash w14:val="solid"/>
            <w14:bevel/>
          </w14:textOutline>
        </w:rPr>
        <w:t>分权值</w:t>
      </w:r>
      <w:r>
        <w:rPr>
          <w:rFonts w:hint="eastAsia" w:ascii="仿宋_GB2312" w:hAnsi="仿宋_GB2312" w:eastAsia="仿宋_GB2312" w:cs="仿宋_GB2312"/>
          <w:b w:val="0"/>
          <w:bCs w:val="0"/>
          <w:spacing w:val="-3"/>
          <w:sz w:val="28"/>
          <w:szCs w:val="28"/>
          <w:lang w:eastAsia="zh-CN"/>
          <w14:textOutline w14:w="5103" w14:cap="sq" w14:cmpd="sng">
            <w14:solidFill>
              <w14:srgbClr w14:val="000000"/>
            </w14:solidFill>
            <w14:prstDash w14:val="solid"/>
            <w14:bevel/>
          </w14:textOutline>
        </w:rPr>
        <w:t>：</w:t>
      </w:r>
      <w:r>
        <w:rPr>
          <w:rFonts w:hint="eastAsia" w:ascii="仿宋_GB2312" w:hAnsi="仿宋_GB2312" w:eastAsia="仿宋_GB2312" w:cs="仿宋_GB2312"/>
          <w:b w:val="0"/>
          <w:bCs w:val="0"/>
          <w:spacing w:val="-5"/>
          <w:sz w:val="28"/>
          <w:szCs w:val="28"/>
        </w:rPr>
        <w:t>总分为</w:t>
      </w:r>
      <w:r>
        <w:rPr>
          <w:rFonts w:hint="eastAsia" w:ascii="仿宋_GB2312" w:hAnsi="仿宋_GB2312" w:eastAsia="仿宋_GB2312" w:cs="仿宋_GB2312"/>
          <w:b w:val="0"/>
          <w:bCs w:val="0"/>
          <w:spacing w:val="-37"/>
          <w:sz w:val="28"/>
          <w:szCs w:val="28"/>
        </w:rPr>
        <w:t xml:space="preserve"> </w:t>
      </w:r>
      <w:r>
        <w:rPr>
          <w:rFonts w:hint="eastAsia" w:ascii="仿宋_GB2312" w:hAnsi="仿宋_GB2312" w:eastAsia="仿宋_GB2312" w:cs="仿宋_GB2312"/>
          <w:b w:val="0"/>
          <w:bCs w:val="0"/>
          <w:spacing w:val="-5"/>
          <w:sz w:val="28"/>
          <w:szCs w:val="28"/>
        </w:rPr>
        <w:t>100</w:t>
      </w:r>
      <w:r>
        <w:rPr>
          <w:rFonts w:hint="eastAsia" w:ascii="仿宋_GB2312" w:hAnsi="仿宋_GB2312" w:eastAsia="仿宋_GB2312" w:cs="仿宋_GB2312"/>
          <w:b w:val="0"/>
          <w:bCs w:val="0"/>
          <w:spacing w:val="-48"/>
          <w:sz w:val="28"/>
          <w:szCs w:val="28"/>
        </w:rPr>
        <w:t xml:space="preserve"> </w:t>
      </w:r>
      <w:r>
        <w:rPr>
          <w:rFonts w:hint="eastAsia" w:ascii="仿宋_GB2312" w:hAnsi="仿宋_GB2312" w:eastAsia="仿宋_GB2312" w:cs="仿宋_GB2312"/>
          <w:b w:val="0"/>
          <w:bCs w:val="0"/>
          <w:spacing w:val="-5"/>
          <w:sz w:val="28"/>
          <w:szCs w:val="28"/>
        </w:rPr>
        <w:t>分，</w:t>
      </w:r>
      <w:r>
        <w:rPr>
          <w:rFonts w:hint="eastAsia" w:ascii="仿宋_GB2312" w:hAnsi="仿宋_GB2312" w:eastAsia="仿宋_GB2312" w:cs="仿宋_GB2312"/>
          <w:spacing w:val="-5"/>
          <w:sz w:val="28"/>
          <w:szCs w:val="28"/>
        </w:rPr>
        <w:t>评分分值分配如下：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2237"/>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237" w:type="dxa"/>
            <w:vAlign w:val="center"/>
          </w:tcPr>
          <w:p>
            <w:pPr>
              <w:spacing w:before="201" w:line="223" w:lineRule="auto"/>
              <w:ind w:left="432" w:leftChars="0"/>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5"/>
                <w:sz w:val="28"/>
                <w:szCs w:val="28"/>
                <w14:textOutline w14:w="5103" w14:cap="sq" w14:cmpd="sng">
                  <w14:solidFill>
                    <w14:srgbClr w14:val="000000"/>
                  </w14:solidFill>
                  <w14:prstDash w14:val="solid"/>
                  <w14:bevel/>
                </w14:textOutline>
              </w:rPr>
              <w:t>评分项目</w:t>
            </w:r>
          </w:p>
        </w:tc>
        <w:tc>
          <w:tcPr>
            <w:tcW w:w="2237" w:type="dxa"/>
            <w:vAlign w:val="center"/>
          </w:tcPr>
          <w:p>
            <w:pPr>
              <w:spacing w:before="201" w:line="223" w:lineRule="auto"/>
              <w:ind w:left="533" w:leftChars="0"/>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7"/>
                <w:sz w:val="28"/>
                <w:szCs w:val="28"/>
                <w14:textOutline w14:w="5103" w14:cap="sq" w14:cmpd="sng">
                  <w14:solidFill>
                    <w14:srgbClr w14:val="000000"/>
                  </w14:solidFill>
                  <w14:prstDash w14:val="solid"/>
                  <w14:bevel/>
                </w14:textOutline>
              </w:rPr>
              <w:t>商务评分</w:t>
            </w:r>
          </w:p>
        </w:tc>
        <w:tc>
          <w:tcPr>
            <w:tcW w:w="2237" w:type="dxa"/>
            <w:vAlign w:val="center"/>
          </w:tcPr>
          <w:p>
            <w:pPr>
              <w:spacing w:before="201" w:line="223" w:lineRule="auto"/>
              <w:ind w:left="586" w:leftChars="0"/>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5"/>
                <w:sz w:val="28"/>
                <w:szCs w:val="28"/>
                <w14:textOutline w14:w="5103" w14:cap="sq" w14:cmpd="sng">
                  <w14:solidFill>
                    <w14:srgbClr w14:val="000000"/>
                  </w14:solidFill>
                  <w14:prstDash w14:val="solid"/>
                  <w14:bevel/>
                </w14:textOutline>
              </w:rPr>
              <w:t>技术评分</w:t>
            </w:r>
          </w:p>
        </w:tc>
        <w:tc>
          <w:tcPr>
            <w:tcW w:w="2237" w:type="dxa"/>
            <w:vAlign w:val="center"/>
          </w:tcPr>
          <w:p>
            <w:pPr>
              <w:spacing w:before="201" w:line="223" w:lineRule="auto"/>
              <w:ind w:left="517" w:leftChars="0"/>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5"/>
                <w:sz w:val="28"/>
                <w:szCs w:val="28"/>
                <w14:textOutline w14:w="5103" w14:cap="sq" w14:cmpd="sng">
                  <w14:solidFill>
                    <w14:srgbClr w14:val="000000"/>
                  </w14:solidFill>
                  <w14:prstDash w14:val="solid"/>
                  <w14:bevel/>
                </w14:textOutline>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237" w:type="dxa"/>
            <w:vAlign w:val="center"/>
          </w:tcPr>
          <w:p>
            <w:pPr>
              <w:spacing w:before="200" w:line="224" w:lineRule="auto"/>
              <w:ind w:left="481" w:leftChars="0"/>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10"/>
                <w:sz w:val="28"/>
                <w:szCs w:val="28"/>
              </w:rPr>
              <w:t>100</w:t>
            </w:r>
            <w:r>
              <w:rPr>
                <w:rFonts w:hint="eastAsia" w:ascii="仿宋_GB2312" w:hAnsi="仿宋_GB2312" w:eastAsia="仿宋_GB2312" w:cs="仿宋_GB2312"/>
                <w:spacing w:val="-50"/>
                <w:sz w:val="28"/>
                <w:szCs w:val="28"/>
              </w:rPr>
              <w:t xml:space="preserve"> </w:t>
            </w:r>
            <w:r>
              <w:rPr>
                <w:rFonts w:hint="eastAsia" w:ascii="仿宋_GB2312" w:hAnsi="仿宋_GB2312" w:eastAsia="仿宋_GB2312" w:cs="仿宋_GB2312"/>
                <w:spacing w:val="-10"/>
                <w:sz w:val="28"/>
                <w:szCs w:val="28"/>
              </w:rPr>
              <w:t>分值</w:t>
            </w:r>
          </w:p>
        </w:tc>
        <w:tc>
          <w:tcPr>
            <w:tcW w:w="2237" w:type="dxa"/>
            <w:vAlign w:val="center"/>
          </w:tcPr>
          <w:p>
            <w:pPr>
              <w:spacing w:before="202" w:line="224" w:lineRule="auto"/>
              <w:ind w:left="767" w:leftChars="0"/>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50"/>
                <w:sz w:val="28"/>
                <w:szCs w:val="28"/>
                <w:u w:val="none" w:color="auto"/>
                <w:lang w:val="en-US" w:eastAsia="zh-CN"/>
              </w:rPr>
              <w:t>30</w:t>
            </w:r>
            <w:r>
              <w:rPr>
                <w:rFonts w:hint="eastAsia" w:ascii="仿宋_GB2312" w:hAnsi="仿宋_GB2312" w:eastAsia="仿宋_GB2312" w:cs="仿宋_GB2312"/>
                <w:spacing w:val="-50"/>
                <w:sz w:val="28"/>
                <w:szCs w:val="28"/>
                <w:u w:val="none" w:color="auto"/>
              </w:rPr>
              <w:t xml:space="preserve"> </w:t>
            </w:r>
            <w:r>
              <w:rPr>
                <w:rFonts w:hint="eastAsia" w:ascii="仿宋_GB2312" w:hAnsi="仿宋_GB2312" w:eastAsia="仿宋_GB2312" w:cs="仿宋_GB2312"/>
                <w:spacing w:val="-5"/>
                <w:sz w:val="28"/>
                <w:szCs w:val="28"/>
              </w:rPr>
              <w:t>分</w:t>
            </w:r>
          </w:p>
        </w:tc>
        <w:tc>
          <w:tcPr>
            <w:tcW w:w="2237" w:type="dxa"/>
            <w:vAlign w:val="center"/>
          </w:tcPr>
          <w:p>
            <w:pPr>
              <w:spacing w:before="202" w:line="224" w:lineRule="auto"/>
              <w:ind w:left="829" w:leftChars="0"/>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50"/>
                <w:sz w:val="28"/>
                <w:szCs w:val="28"/>
                <w:u w:val="none" w:color="auto"/>
                <w:lang w:val="en-US" w:eastAsia="zh-CN"/>
              </w:rPr>
              <w:t>50</w:t>
            </w:r>
            <w:r>
              <w:rPr>
                <w:rFonts w:hint="eastAsia" w:ascii="仿宋_GB2312" w:hAnsi="仿宋_GB2312" w:eastAsia="仿宋_GB2312" w:cs="仿宋_GB2312"/>
                <w:spacing w:val="-5"/>
                <w:sz w:val="28"/>
                <w:szCs w:val="28"/>
              </w:rPr>
              <w:t>分</w:t>
            </w:r>
          </w:p>
        </w:tc>
        <w:tc>
          <w:tcPr>
            <w:tcW w:w="2237" w:type="dxa"/>
            <w:vAlign w:val="center"/>
          </w:tcPr>
          <w:p>
            <w:pPr>
              <w:spacing w:before="202" w:line="224" w:lineRule="auto"/>
              <w:ind w:left="775" w:leftChars="0"/>
              <w:jc w:val="both"/>
              <w:rPr>
                <w:rFonts w:hint="eastAsia" w:ascii="仿宋_GB2312" w:hAnsi="仿宋_GB2312" w:eastAsia="仿宋_GB2312" w:cs="仿宋_GB2312"/>
                <w:sz w:val="28"/>
                <w:szCs w:val="28"/>
                <w:vertAlign w:val="baseline"/>
              </w:rPr>
            </w:pPr>
            <w:r>
              <w:rPr>
                <w:rFonts w:hint="eastAsia" w:ascii="仿宋_GB2312" w:hAnsi="仿宋_GB2312" w:eastAsia="仿宋_GB2312" w:cs="仿宋_GB2312"/>
                <w:spacing w:val="-11"/>
                <w:sz w:val="28"/>
                <w:szCs w:val="28"/>
                <w:lang w:val="en-US" w:eastAsia="zh-CN"/>
              </w:rPr>
              <w:t>20</w:t>
            </w:r>
            <w:r>
              <w:rPr>
                <w:rFonts w:hint="eastAsia" w:ascii="仿宋_GB2312" w:hAnsi="仿宋_GB2312" w:eastAsia="仿宋_GB2312" w:cs="仿宋_GB2312"/>
                <w:spacing w:val="-11"/>
                <w:sz w:val="28"/>
                <w:szCs w:val="28"/>
              </w:rPr>
              <w:t>分</w:t>
            </w:r>
          </w:p>
        </w:tc>
      </w:tr>
    </w:tbl>
    <w:p>
      <w:pPr>
        <w:pStyle w:val="2"/>
      </w:pPr>
    </w:p>
    <w:p>
      <w:pPr>
        <w:pStyle w:val="3"/>
        <w:spacing w:before="91" w:line="223" w:lineRule="auto"/>
        <w:ind w:left="558"/>
        <w:outlineLvl w:val="1"/>
        <w:rPr>
          <w:rFonts w:hint="eastAsia" w:ascii="仿宋_GB2312" w:hAnsi="仿宋_GB2312" w:eastAsia="仿宋_GB2312" w:cs="仿宋_GB2312"/>
          <w:sz w:val="28"/>
          <w:szCs w:val="28"/>
        </w:rPr>
      </w:pPr>
      <w:bookmarkStart w:id="0" w:name="_Toc24782"/>
      <w:bookmarkStart w:id="1" w:name="_Toc27606"/>
      <w:r>
        <w:rPr>
          <w:rFonts w:hint="eastAsia" w:ascii="仿宋_GB2312" w:hAnsi="仿宋_GB2312" w:eastAsia="仿宋_GB2312" w:cs="仿宋_GB2312"/>
          <w:spacing w:val="-3"/>
          <w:sz w:val="28"/>
          <w:szCs w:val="28"/>
          <w14:textOutline w14:w="5103" w14:cap="sq" w14:cmpd="sng">
            <w14:solidFill>
              <w14:srgbClr w14:val="000000"/>
            </w14:solidFill>
            <w14:prstDash w14:val="solid"/>
            <w14:bevel/>
          </w14:textOutline>
        </w:rPr>
        <w:t>（</w:t>
      </w:r>
      <w:r>
        <w:rPr>
          <w:rFonts w:hint="eastAsia" w:ascii="仿宋_GB2312" w:hAnsi="仿宋_GB2312" w:eastAsia="仿宋_GB2312" w:cs="仿宋_GB2312"/>
          <w:spacing w:val="-3"/>
          <w:sz w:val="28"/>
          <w:szCs w:val="28"/>
          <w:lang w:val="en-US" w:eastAsia="zh-CN"/>
          <w14:textOutline w14:w="5103" w14:cap="sq" w14:cmpd="sng">
            <w14:solidFill>
              <w14:srgbClr w14:val="000000"/>
            </w14:solidFill>
            <w14:prstDash w14:val="solid"/>
            <w14:bevel/>
          </w14:textOutline>
        </w:rPr>
        <w:t>2</w:t>
      </w:r>
      <w:r>
        <w:rPr>
          <w:rFonts w:hint="eastAsia" w:ascii="仿宋_GB2312" w:hAnsi="仿宋_GB2312" w:eastAsia="仿宋_GB2312" w:cs="仿宋_GB2312"/>
          <w:spacing w:val="-3"/>
          <w:sz w:val="28"/>
          <w:szCs w:val="28"/>
          <w14:textOutline w14:w="5103" w14:cap="sq" w14:cmpd="sng">
            <w14:solidFill>
              <w14:srgbClr w14:val="000000"/>
            </w14:solidFill>
            <w14:prstDash w14:val="solid"/>
            <w14:bevel/>
          </w14:textOutline>
        </w:rPr>
        <w:t>）</w:t>
      </w:r>
      <w:r>
        <w:rPr>
          <w:rFonts w:hint="eastAsia" w:ascii="仿宋_GB2312" w:hAnsi="仿宋_GB2312" w:eastAsia="仿宋_GB2312" w:cs="仿宋_GB2312"/>
          <w:spacing w:val="-3"/>
          <w:sz w:val="28"/>
          <w:szCs w:val="28"/>
          <w:lang w:val="en-US" w:eastAsia="zh-CN"/>
          <w14:textOutline w14:w="5103" w14:cap="sq" w14:cmpd="sng">
            <w14:solidFill>
              <w14:srgbClr w14:val="000000"/>
            </w14:solidFill>
            <w14:prstDash w14:val="solid"/>
            <w14:bevel/>
          </w14:textOutline>
        </w:rPr>
        <w:t>商务评分表</w:t>
      </w:r>
      <w:r>
        <w:rPr>
          <w:rFonts w:hint="eastAsia" w:ascii="仿宋_GB2312" w:hAnsi="仿宋_GB2312" w:eastAsia="仿宋_GB2312" w:cs="仿宋_GB2312"/>
          <w:spacing w:val="-3"/>
          <w:sz w:val="28"/>
          <w:szCs w:val="28"/>
          <w:lang w:eastAsia="zh-CN"/>
          <w14:textOutline w14:w="5103" w14:cap="sq" w14:cmpd="sng">
            <w14:solidFill>
              <w14:srgbClr w14:val="000000"/>
            </w14:solidFill>
            <w14:prstDash w14:val="solid"/>
            <w14:bevel/>
          </w14:textOutline>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5805"/>
        <w:gridCol w:w="90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2" w:name="_Toc7853"/>
            <w:r>
              <w:rPr>
                <w:rFonts w:hint="eastAsia" w:ascii="仿宋_GB2312" w:hAnsi="仿宋_GB2312" w:eastAsia="仿宋_GB2312" w:cs="仿宋_GB2312"/>
                <w:b/>
                <w:bCs/>
                <w:sz w:val="28"/>
                <w:szCs w:val="28"/>
                <w:vertAlign w:val="baseline"/>
                <w:lang w:val="en-US" w:eastAsia="zh-CN"/>
              </w:rPr>
              <w:t>评审项目</w:t>
            </w:r>
            <w:bookmarkEnd w:id="2"/>
          </w:p>
        </w:tc>
        <w:tc>
          <w:tcPr>
            <w:tcW w:w="5805"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3" w:name="_Toc17395"/>
            <w:r>
              <w:rPr>
                <w:rFonts w:hint="eastAsia" w:ascii="仿宋_GB2312" w:hAnsi="仿宋_GB2312" w:eastAsia="仿宋_GB2312" w:cs="仿宋_GB2312"/>
                <w:b/>
                <w:bCs/>
                <w:sz w:val="28"/>
                <w:szCs w:val="28"/>
                <w:vertAlign w:val="baseline"/>
                <w:lang w:val="en-US" w:eastAsia="zh-CN"/>
              </w:rPr>
              <w:t>评分标准</w:t>
            </w:r>
            <w:bookmarkEnd w:id="3"/>
          </w:p>
        </w:tc>
        <w:tc>
          <w:tcPr>
            <w:tcW w:w="900"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4" w:name="_Toc16603"/>
            <w:r>
              <w:rPr>
                <w:rFonts w:hint="eastAsia" w:ascii="仿宋_GB2312" w:hAnsi="仿宋_GB2312" w:eastAsia="仿宋_GB2312" w:cs="仿宋_GB2312"/>
                <w:b/>
                <w:bCs/>
                <w:sz w:val="28"/>
                <w:szCs w:val="28"/>
                <w:vertAlign w:val="baseline"/>
                <w:lang w:val="en-US" w:eastAsia="zh-CN"/>
              </w:rPr>
              <w:t>分值</w:t>
            </w:r>
            <w:bookmarkEnd w:id="4"/>
          </w:p>
        </w:tc>
        <w:tc>
          <w:tcPr>
            <w:tcW w:w="850"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5" w:name="_Toc14247"/>
            <w:r>
              <w:rPr>
                <w:rFonts w:hint="eastAsia" w:ascii="仿宋_GB2312" w:hAnsi="仿宋_GB2312" w:eastAsia="仿宋_GB2312" w:cs="仿宋_GB2312"/>
                <w:b/>
                <w:bCs/>
                <w:sz w:val="28"/>
                <w:szCs w:val="28"/>
                <w:vertAlign w:val="baseline"/>
                <w:lang w:val="en-US" w:eastAsia="zh-CN"/>
              </w:rPr>
              <w:t>评分</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Cs/>
                <w:sz w:val="28"/>
                <w:szCs w:val="28"/>
              </w:rPr>
              <w:t>同类项目经验</w:t>
            </w:r>
          </w:p>
        </w:tc>
        <w:tc>
          <w:tcPr>
            <w:tcW w:w="5805" w:type="dxa"/>
          </w:tcPr>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考察自2020年1月1日至今（以合同签订日期为准）承接过的同类项目业绩情况。</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投标人每提供一份符合要求的同类项目业绩证明材料，得4分；本项最高得20分。</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评分说明：关于业绩范围的认定：</w:t>
            </w:r>
            <w:r>
              <w:rPr>
                <w:rFonts w:hint="eastAsia" w:ascii="仿宋_GB2312" w:hAnsi="仿宋_GB2312" w:eastAsia="仿宋_GB2312" w:cs="仿宋_GB2312"/>
                <w:b/>
                <w:sz w:val="24"/>
                <w:szCs w:val="24"/>
              </w:rPr>
              <w:t>同类项目指团体接待服务项目</w:t>
            </w:r>
            <w:r>
              <w:rPr>
                <w:rFonts w:hint="eastAsia" w:ascii="仿宋_GB2312" w:hAnsi="仿宋_GB2312" w:eastAsia="仿宋_GB2312" w:cs="仿宋_GB2312"/>
                <w:bCs/>
                <w:sz w:val="24"/>
                <w:szCs w:val="24"/>
              </w:rPr>
              <w:t>。</w:t>
            </w:r>
          </w:p>
          <w:p>
            <w:pPr>
              <w:spacing w:before="46" w:line="234" w:lineRule="auto"/>
              <w:ind w:right="183"/>
              <w:jc w:val="both"/>
              <w:rPr>
                <w:rFonts w:hint="eastAsia" w:ascii="仿宋_GB2312" w:hAnsi="仿宋_GB2312" w:eastAsia="仿宋_GB2312" w:cs="仿宋_GB2312"/>
                <w:spacing w:val="-2"/>
                <w:sz w:val="24"/>
                <w:szCs w:val="24"/>
                <w:lang w:eastAsia="zh-CN"/>
              </w:rPr>
            </w:pPr>
            <w:r>
              <w:rPr>
                <w:rFonts w:hint="eastAsia" w:ascii="仿宋_GB2312" w:hAnsi="仿宋_GB2312" w:eastAsia="仿宋_GB2312" w:cs="仿宋_GB2312"/>
                <w:bCs/>
                <w:sz w:val="24"/>
                <w:szCs w:val="24"/>
              </w:rPr>
              <w:t>注：须提供合同关键页复印件作为证明材料，有效证明材料须体现合同签订日期、合同服务内容、签字盖章页等关键内容。证明材料不完整、不清晰、评标委员会无法确定业绩关键信息的将不予认可。</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w:t>
            </w:r>
          </w:p>
        </w:tc>
        <w:tc>
          <w:tcPr>
            <w:tcW w:w="85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93" w:type="dxa"/>
          </w:tcPr>
          <w:p>
            <w:pPr>
              <w:spacing w:before="91" w:line="461" w:lineRule="exact"/>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Cs/>
                <w:sz w:val="28"/>
                <w:szCs w:val="28"/>
              </w:rPr>
              <w:t>企业认证情况</w:t>
            </w:r>
          </w:p>
        </w:tc>
        <w:tc>
          <w:tcPr>
            <w:tcW w:w="5805" w:type="dxa"/>
          </w:tcPr>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考察企业认证体系情况，根据所获证书进行评分。具体如下：</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1、参选人提供质量管理体系认证证书,得2分，不提供不得分。</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val="en-US" w:eastAsia="zh-CN"/>
              </w:rPr>
              <w:t>2</w:t>
            </w:r>
            <w:r>
              <w:rPr>
                <w:rFonts w:hint="eastAsia" w:ascii="仿宋_GB2312" w:hAnsi="仿宋_GB2312" w:eastAsia="仿宋_GB2312" w:cs="仿宋_GB2312"/>
                <w:bCs/>
                <w:sz w:val="24"/>
                <w:szCs w:val="24"/>
              </w:rPr>
              <w:t>、参选人提供职业健康安全管理体系认证证书，得2分，不提供不得分。</w:t>
            </w:r>
          </w:p>
          <w:p>
            <w:pPr>
              <w:spacing w:before="46" w:line="234" w:lineRule="auto"/>
              <w:ind w:right="183"/>
              <w:jc w:val="both"/>
              <w:rPr>
                <w:rFonts w:hint="eastAsia" w:ascii="仿宋_GB2312" w:hAnsi="仿宋_GB2312" w:eastAsia="仿宋_GB2312" w:cs="仿宋_GB2312"/>
                <w:spacing w:val="-2"/>
                <w:sz w:val="24"/>
                <w:szCs w:val="24"/>
                <w:lang w:eastAsia="zh-CN"/>
              </w:rPr>
            </w:pPr>
            <w:r>
              <w:rPr>
                <w:rFonts w:hint="eastAsia" w:ascii="仿宋_GB2312" w:hAnsi="仿宋_GB2312" w:eastAsia="仿宋_GB2312" w:cs="仿宋_GB2312"/>
                <w:bCs/>
                <w:sz w:val="24"/>
                <w:szCs w:val="24"/>
              </w:rPr>
              <w:t>注：需提供认证体系证书复印件。</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85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93" w:type="dxa"/>
          </w:tcPr>
          <w:p>
            <w:pPr>
              <w:spacing w:before="91" w:line="461" w:lineRule="exact"/>
              <w:jc w:val="center"/>
              <w:rPr>
                <w:rFonts w:hint="eastAsia" w:ascii="仿宋_GB2312" w:hAnsi="仿宋_GB2312" w:eastAsia="仿宋_GB2312" w:cs="仿宋_GB2312"/>
                <w:bCs/>
                <w:sz w:val="28"/>
                <w:szCs w:val="28"/>
              </w:rPr>
            </w:pPr>
            <w:bookmarkStart w:id="6" w:name="_Toc8168"/>
            <w:r>
              <w:rPr>
                <w:rFonts w:hint="eastAsia" w:ascii="仿宋_GB2312" w:hAnsi="仿宋_GB2312" w:eastAsia="仿宋_GB2312" w:cs="仿宋_GB2312"/>
                <w:bCs/>
                <w:sz w:val="28"/>
                <w:szCs w:val="28"/>
              </w:rPr>
              <w:t>客户满意度评价情况</w:t>
            </w:r>
          </w:p>
        </w:tc>
        <w:tc>
          <w:tcPr>
            <w:tcW w:w="5805" w:type="dxa"/>
          </w:tcPr>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考察以往服务项目的客户满意度评价情况。具体如下：</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根据上述“同类项目经验”提供的有效业绩中，获得客户单位的表扬信或感谢信或满意度正面评价证明的，每提供一份有效证明材料，得1分；本项最高得</w:t>
            </w:r>
            <w:r>
              <w:rPr>
                <w:rFonts w:hint="eastAsia" w:ascii="仿宋_GB2312" w:hAnsi="仿宋_GB2312" w:eastAsia="仿宋_GB2312" w:cs="仿宋_GB2312"/>
                <w:bCs/>
                <w:sz w:val="24"/>
                <w:szCs w:val="24"/>
                <w:lang w:val="en-US" w:eastAsia="zh-CN"/>
              </w:rPr>
              <w:t>6</w:t>
            </w:r>
            <w:r>
              <w:rPr>
                <w:rFonts w:hint="eastAsia" w:ascii="仿宋_GB2312" w:hAnsi="仿宋_GB2312" w:eastAsia="仿宋_GB2312" w:cs="仿宋_GB2312"/>
                <w:bCs/>
                <w:sz w:val="24"/>
                <w:szCs w:val="24"/>
              </w:rPr>
              <w:t>分。</w:t>
            </w:r>
          </w:p>
          <w:p>
            <w:pPr>
              <w:spacing w:before="46" w:line="234" w:lineRule="auto"/>
              <w:ind w:right="183"/>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注：须提供有效业绩合同甲方或甲方项目主管部门盖章的满意度评价文件，不提供不得分。同一客户单位提供多份评价的只按一份计算。</w:t>
            </w: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85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合计</w:t>
            </w:r>
            <w:bookmarkEnd w:id="6"/>
          </w:p>
        </w:tc>
        <w:tc>
          <w:tcPr>
            <w:tcW w:w="580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c>
          <w:tcPr>
            <w:tcW w:w="90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30</w:t>
            </w:r>
          </w:p>
        </w:tc>
        <w:tc>
          <w:tcPr>
            <w:tcW w:w="85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r>
    </w:tbl>
    <w:p>
      <w:pPr>
        <w:pStyle w:val="3"/>
        <w:spacing w:before="91" w:line="223" w:lineRule="auto"/>
        <w:ind w:left="558"/>
        <w:outlineLvl w:val="1"/>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14:textOutline w14:w="5103" w14:cap="sq" w14:cmpd="sng">
            <w14:solidFill>
              <w14:srgbClr w14:val="000000"/>
            </w14:solidFill>
            <w14:prstDash w14:val="solid"/>
            <w14:bevel/>
          </w14:textOutline>
        </w:rPr>
        <w:t>（</w:t>
      </w:r>
      <w:r>
        <w:rPr>
          <w:rFonts w:hint="eastAsia" w:ascii="仿宋_GB2312" w:hAnsi="仿宋_GB2312" w:eastAsia="仿宋_GB2312" w:cs="仿宋_GB2312"/>
          <w:spacing w:val="-3"/>
          <w:sz w:val="28"/>
          <w:szCs w:val="28"/>
          <w:lang w:val="en-US" w:eastAsia="zh-CN"/>
          <w14:textOutline w14:w="5103" w14:cap="sq" w14:cmpd="sng">
            <w14:solidFill>
              <w14:srgbClr w14:val="000000"/>
            </w14:solidFill>
            <w14:prstDash w14:val="solid"/>
            <w14:bevel/>
          </w14:textOutline>
        </w:rPr>
        <w:t>3</w:t>
      </w:r>
      <w:r>
        <w:rPr>
          <w:rFonts w:hint="eastAsia" w:ascii="仿宋_GB2312" w:hAnsi="仿宋_GB2312" w:eastAsia="仿宋_GB2312" w:cs="仿宋_GB2312"/>
          <w:spacing w:val="-3"/>
          <w:sz w:val="28"/>
          <w:szCs w:val="28"/>
          <w14:textOutline w14:w="5103" w14:cap="sq" w14:cmpd="sng">
            <w14:solidFill>
              <w14:srgbClr w14:val="000000"/>
            </w14:solidFill>
            <w14:prstDash w14:val="solid"/>
            <w14:bevel/>
          </w14:textOutline>
        </w:rPr>
        <w:t>）</w:t>
      </w:r>
      <w:r>
        <w:rPr>
          <w:rFonts w:hint="eastAsia" w:ascii="仿宋_GB2312" w:hAnsi="仿宋_GB2312" w:eastAsia="仿宋_GB2312" w:cs="仿宋_GB2312"/>
          <w:spacing w:val="-3"/>
          <w:sz w:val="28"/>
          <w:szCs w:val="28"/>
          <w:lang w:val="en-US" w:eastAsia="zh-CN"/>
          <w14:textOutline w14:w="5103" w14:cap="sq" w14:cmpd="sng">
            <w14:solidFill>
              <w14:srgbClr w14:val="000000"/>
            </w14:solidFill>
            <w14:prstDash w14:val="solid"/>
            <w14:bevel/>
          </w14:textOutline>
        </w:rPr>
        <w:t>技术评分表</w:t>
      </w:r>
      <w:r>
        <w:rPr>
          <w:rFonts w:hint="eastAsia" w:ascii="仿宋_GB2312" w:hAnsi="仿宋_GB2312" w:eastAsia="仿宋_GB2312" w:cs="仿宋_GB2312"/>
          <w:spacing w:val="-3"/>
          <w:sz w:val="28"/>
          <w:szCs w:val="28"/>
          <w:lang w:eastAsia="zh-CN"/>
          <w14:textOutline w14:w="5103" w14:cap="sq" w14:cmpd="sng">
            <w14:solidFill>
              <w14:srgbClr w14:val="000000"/>
            </w14:solidFill>
            <w14:prstDash w14:val="solid"/>
            <w14:bevel/>
          </w14:textOutline>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5805"/>
        <w:gridCol w:w="91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7" w:name="_Toc8398"/>
            <w:r>
              <w:rPr>
                <w:rFonts w:hint="eastAsia" w:ascii="仿宋_GB2312" w:hAnsi="仿宋_GB2312" w:eastAsia="仿宋_GB2312" w:cs="仿宋_GB2312"/>
                <w:b/>
                <w:bCs/>
                <w:sz w:val="28"/>
                <w:szCs w:val="28"/>
                <w:vertAlign w:val="baseline"/>
                <w:lang w:val="en-US" w:eastAsia="zh-CN"/>
              </w:rPr>
              <w:t>评审项目</w:t>
            </w:r>
            <w:bookmarkEnd w:id="7"/>
          </w:p>
        </w:tc>
        <w:tc>
          <w:tcPr>
            <w:tcW w:w="5805"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8" w:name="_Toc5264"/>
            <w:r>
              <w:rPr>
                <w:rFonts w:hint="eastAsia" w:ascii="仿宋_GB2312" w:hAnsi="仿宋_GB2312" w:eastAsia="仿宋_GB2312" w:cs="仿宋_GB2312"/>
                <w:b/>
                <w:bCs/>
                <w:sz w:val="28"/>
                <w:szCs w:val="28"/>
                <w:vertAlign w:val="baseline"/>
                <w:lang w:val="en-US" w:eastAsia="zh-CN"/>
              </w:rPr>
              <w:t>评分标准</w:t>
            </w:r>
            <w:bookmarkEnd w:id="8"/>
          </w:p>
        </w:tc>
        <w:tc>
          <w:tcPr>
            <w:tcW w:w="915"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9" w:name="_Toc10890"/>
            <w:r>
              <w:rPr>
                <w:rFonts w:hint="eastAsia" w:ascii="仿宋_GB2312" w:hAnsi="仿宋_GB2312" w:eastAsia="仿宋_GB2312" w:cs="仿宋_GB2312"/>
                <w:b/>
                <w:bCs/>
                <w:sz w:val="28"/>
                <w:szCs w:val="28"/>
                <w:vertAlign w:val="baseline"/>
                <w:lang w:val="en-US" w:eastAsia="zh-CN"/>
              </w:rPr>
              <w:t>分值</w:t>
            </w:r>
            <w:bookmarkEnd w:id="9"/>
          </w:p>
        </w:tc>
        <w:tc>
          <w:tcPr>
            <w:tcW w:w="835"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10" w:name="_Toc18057"/>
            <w:r>
              <w:rPr>
                <w:rFonts w:hint="eastAsia" w:ascii="仿宋_GB2312" w:hAnsi="仿宋_GB2312" w:eastAsia="仿宋_GB2312" w:cs="仿宋_GB2312"/>
                <w:b/>
                <w:bCs/>
                <w:sz w:val="28"/>
                <w:szCs w:val="28"/>
                <w:vertAlign w:val="baseline"/>
                <w:lang w:val="en-US" w:eastAsia="zh-CN"/>
              </w:rPr>
              <w:t>评分</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tcPr>
          <w:p>
            <w:pPr>
              <w:jc w:val="both"/>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Cs/>
                <w:sz w:val="28"/>
                <w:szCs w:val="28"/>
              </w:rPr>
              <w:t>接待服务方案</w:t>
            </w:r>
          </w:p>
        </w:tc>
        <w:tc>
          <w:tcPr>
            <w:tcW w:w="5805" w:type="dxa"/>
          </w:tcPr>
          <w:p>
            <w:pPr>
              <w:spacing w:before="93" w:beforeLines="30" w:after="93" w:afterLines="30"/>
              <w:rPr>
                <w:rFonts w:hint="eastAsia"/>
              </w:rPr>
            </w:pPr>
            <w:r>
              <w:rPr>
                <w:rFonts w:hint="eastAsia"/>
              </w:rPr>
              <w:t>针对本次接待所制定的整体接待服务方案（包括但不限于提供食宿、交通安排、当地地陪等服务）。投标人需结合本项目的工作内容要求拟定工作流程，制定接待服务方案。根据服务方案的优劣情况进行横向对比，具体如下：</w:t>
            </w:r>
          </w:p>
          <w:p>
            <w:pPr>
              <w:spacing w:before="93" w:beforeLines="30" w:after="93" w:afterLines="30"/>
              <w:rPr>
                <w:rFonts w:hint="eastAsia"/>
              </w:rPr>
            </w:pPr>
            <w:r>
              <w:rPr>
                <w:rFonts w:hint="eastAsia"/>
              </w:rPr>
              <w:t>1、整体接待服务方案清晰合理，服务方案切实可行，得</w:t>
            </w:r>
            <w:r>
              <w:rPr>
                <w:rFonts w:hint="eastAsia"/>
                <w:lang w:val="en-US" w:eastAsia="zh-CN"/>
              </w:rPr>
              <w:t>2</w:t>
            </w:r>
            <w:r>
              <w:rPr>
                <w:rFonts w:hint="eastAsia"/>
              </w:rPr>
              <w:t>5分；</w:t>
            </w:r>
          </w:p>
          <w:p>
            <w:pPr>
              <w:spacing w:before="93" w:beforeLines="30" w:after="93" w:afterLines="30"/>
              <w:rPr>
                <w:rFonts w:hint="eastAsia"/>
              </w:rPr>
            </w:pPr>
            <w:r>
              <w:rPr>
                <w:rFonts w:hint="eastAsia"/>
              </w:rPr>
              <w:t>2、整体接待服务方案基本清晰，服务方案有一定可行性，得1</w:t>
            </w:r>
            <w:r>
              <w:rPr>
                <w:rFonts w:hint="eastAsia"/>
                <w:lang w:val="en-US" w:eastAsia="zh-CN"/>
              </w:rPr>
              <w:t>5</w:t>
            </w:r>
            <w:r>
              <w:rPr>
                <w:rFonts w:hint="eastAsia"/>
              </w:rPr>
              <w:t>分；</w:t>
            </w:r>
          </w:p>
          <w:p>
            <w:pPr>
              <w:spacing w:before="93" w:beforeLines="30" w:after="93" w:afterLines="30"/>
              <w:rPr>
                <w:rFonts w:hint="eastAsia"/>
              </w:rPr>
            </w:pPr>
            <w:r>
              <w:rPr>
                <w:rFonts w:hint="eastAsia"/>
              </w:rPr>
              <w:t>3、整体接待服务方案较为笼统，服务方案内容不完整，得5分；</w:t>
            </w:r>
          </w:p>
          <w:p>
            <w:pPr>
              <w:spacing w:before="46" w:line="234" w:lineRule="auto"/>
              <w:ind w:right="183"/>
              <w:jc w:val="both"/>
              <w:rPr>
                <w:rFonts w:hint="eastAsia" w:ascii="仿宋_GB2312" w:hAnsi="仿宋_GB2312" w:eastAsia="仿宋_GB2312" w:cs="仿宋_GB2312"/>
                <w:spacing w:val="-2"/>
                <w:sz w:val="24"/>
                <w:szCs w:val="24"/>
                <w:lang w:eastAsia="zh-CN"/>
              </w:rPr>
            </w:pPr>
            <w:r>
              <w:rPr>
                <w:rFonts w:hint="eastAsia"/>
              </w:rPr>
              <w:t>4、未提供相关内容则不得分。</w:t>
            </w:r>
          </w:p>
        </w:tc>
        <w:tc>
          <w:tcPr>
            <w:tcW w:w="91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25</w:t>
            </w:r>
          </w:p>
        </w:tc>
        <w:tc>
          <w:tcPr>
            <w:tcW w:w="83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93" w:type="dxa"/>
          </w:tcPr>
          <w:p>
            <w:pPr>
              <w:spacing w:before="91" w:line="461" w:lineRule="exact"/>
              <w:rPr>
                <w:rFonts w:hint="eastAsia" w:ascii="仿宋_GB2312" w:hAnsi="仿宋_GB2312" w:eastAsia="仿宋_GB2312" w:cs="仿宋_GB2312"/>
                <w:bCs/>
                <w:sz w:val="28"/>
                <w:szCs w:val="28"/>
              </w:rPr>
            </w:pPr>
            <w:bookmarkStart w:id="11" w:name="_Toc14945"/>
            <w:r>
              <w:rPr>
                <w:rFonts w:hint="eastAsia" w:ascii="仿宋_GB2312" w:hAnsi="仿宋_GB2312" w:eastAsia="仿宋_GB2312" w:cs="仿宋_GB2312"/>
                <w:bCs/>
                <w:sz w:val="28"/>
                <w:szCs w:val="28"/>
              </w:rPr>
              <w:t>团队配置及</w:t>
            </w:r>
            <w:bookmarkStart w:id="12" w:name="_Hlk163578317"/>
            <w:r>
              <w:rPr>
                <w:rFonts w:hint="eastAsia" w:ascii="仿宋_GB2312" w:hAnsi="仿宋_GB2312" w:eastAsia="仿宋_GB2312" w:cs="仿宋_GB2312"/>
                <w:bCs/>
                <w:sz w:val="28"/>
                <w:szCs w:val="28"/>
              </w:rPr>
              <w:t>地陪</w:t>
            </w:r>
            <w:bookmarkEnd w:id="12"/>
            <w:r>
              <w:rPr>
                <w:rFonts w:hint="eastAsia" w:ascii="仿宋_GB2312" w:hAnsi="仿宋_GB2312" w:eastAsia="仿宋_GB2312" w:cs="仿宋_GB2312"/>
                <w:bCs/>
                <w:sz w:val="28"/>
                <w:szCs w:val="28"/>
              </w:rPr>
              <w:t>服务</w:t>
            </w:r>
          </w:p>
        </w:tc>
        <w:tc>
          <w:tcPr>
            <w:tcW w:w="5805" w:type="dxa"/>
          </w:tcPr>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针对本次</w:t>
            </w:r>
            <w:r>
              <w:rPr>
                <w:rFonts w:hint="eastAsia" w:ascii="仿宋_GB2312" w:hAnsi="仿宋_GB2312" w:eastAsia="仿宋_GB2312" w:cs="仿宋_GB2312"/>
                <w:bCs/>
                <w:sz w:val="24"/>
                <w:szCs w:val="24"/>
                <w:lang w:eastAsia="zh-CN"/>
              </w:rPr>
              <w:t>接待</w:t>
            </w:r>
            <w:r>
              <w:rPr>
                <w:rFonts w:hint="eastAsia" w:ascii="仿宋_GB2312" w:hAnsi="仿宋_GB2312" w:eastAsia="仿宋_GB2312" w:cs="仿宋_GB2312"/>
                <w:bCs/>
                <w:sz w:val="24"/>
                <w:szCs w:val="24"/>
              </w:rPr>
              <w:t>所投入的团队配置及地陪服务情况。根据优劣情况进行横向比较，具体如下：</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1、服务团队人员配置合理，设置专职的对接人员及地陪人员，各人员分工明确且具备接待服务经验，能够对应提供地陪服务，能够满足实际需求，得</w:t>
            </w: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Cs/>
                <w:sz w:val="24"/>
                <w:szCs w:val="24"/>
              </w:rPr>
              <w:t>5分；</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2、服务团队人员配置较合理，列有对接人员及地陪人员介绍，分工较为明确能够提供地陪服务，得</w:t>
            </w:r>
            <w:r>
              <w:rPr>
                <w:rFonts w:hint="eastAsia" w:ascii="仿宋_GB2312" w:hAnsi="仿宋_GB2312" w:eastAsia="仿宋_GB2312" w:cs="仿宋_GB2312"/>
                <w:bCs/>
                <w:sz w:val="24"/>
                <w:szCs w:val="24"/>
                <w:lang w:val="en-US" w:eastAsia="zh-CN"/>
              </w:rPr>
              <w:t>10</w:t>
            </w:r>
            <w:r>
              <w:rPr>
                <w:rFonts w:hint="eastAsia" w:ascii="仿宋_GB2312" w:hAnsi="仿宋_GB2312" w:eastAsia="仿宋_GB2312" w:cs="仿宋_GB2312"/>
                <w:bCs/>
                <w:sz w:val="24"/>
                <w:szCs w:val="24"/>
              </w:rPr>
              <w:t>分；</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3、列有服务团队人员清单，整体配置一般，分工不明确，整体情况较差，得</w:t>
            </w:r>
            <w:r>
              <w:rPr>
                <w:rFonts w:hint="eastAsia" w:ascii="仿宋_GB2312" w:hAnsi="仿宋_GB2312" w:eastAsia="仿宋_GB2312" w:cs="仿宋_GB2312"/>
                <w:bCs/>
                <w:sz w:val="24"/>
                <w:szCs w:val="24"/>
                <w:lang w:val="en-US" w:eastAsia="zh-CN"/>
              </w:rPr>
              <w:t>5</w:t>
            </w:r>
            <w:r>
              <w:rPr>
                <w:rFonts w:hint="eastAsia" w:ascii="仿宋_GB2312" w:hAnsi="仿宋_GB2312" w:eastAsia="仿宋_GB2312" w:cs="仿宋_GB2312"/>
                <w:bCs/>
                <w:sz w:val="24"/>
                <w:szCs w:val="24"/>
              </w:rPr>
              <w:t>分。</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4、未提供相关内容则不得分。</w:t>
            </w:r>
          </w:p>
          <w:p>
            <w:pPr>
              <w:spacing w:before="46" w:line="234" w:lineRule="auto"/>
              <w:ind w:right="183"/>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注：需提供服务团队人员情况，并列有各人员的信息情况。</w:t>
            </w:r>
          </w:p>
        </w:tc>
        <w:tc>
          <w:tcPr>
            <w:tcW w:w="91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15</w:t>
            </w:r>
          </w:p>
        </w:tc>
        <w:tc>
          <w:tcPr>
            <w:tcW w:w="83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93" w:type="dxa"/>
          </w:tcPr>
          <w:p>
            <w:pPr>
              <w:spacing w:before="91" w:line="461"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质量控制措施</w:t>
            </w:r>
          </w:p>
        </w:tc>
        <w:tc>
          <w:tcPr>
            <w:tcW w:w="5805" w:type="dxa"/>
          </w:tcPr>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针对为本项目拟定的质量控制措施。质量控制措施包含不限于质量目标定位、对接协调服务、人员安全保障等。根据质量控制措施的优劣情况进行横向比较，具体如下：</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1、质量管控措施详细合理，列有详细的对接协调响应和人员安全保障等内容，可执行性强，能够起到质量管控效果，得5分；</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2、质量管控措施较为合理，列有简单的对接协调响应和人员安全保障等内容，基本能够达到质量管控效果，得3分；</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3、质量管控措施一般，各部分内容描述较为笼统，可执行较差，得1分；</w:t>
            </w:r>
          </w:p>
          <w:p>
            <w:pPr>
              <w:spacing w:before="46" w:line="234" w:lineRule="auto"/>
              <w:ind w:right="183"/>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4、未提供相关内容则不得分。</w:t>
            </w:r>
          </w:p>
        </w:tc>
        <w:tc>
          <w:tcPr>
            <w:tcW w:w="91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83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93" w:type="dxa"/>
          </w:tcPr>
          <w:p>
            <w:pPr>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应急保障方案</w:t>
            </w:r>
          </w:p>
        </w:tc>
        <w:tc>
          <w:tcPr>
            <w:tcW w:w="5805" w:type="dxa"/>
          </w:tcPr>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考察为本项目拟定的应急保障方案。应急保障方案包含不限于应急设备、应急人员、应急物资等，并提供适用于本项目的应急处理方案：</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1、列有应急设备、应急人员、应急物资，应急方案及措施完善且切实可行，可操作性高，得5分；</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2、列有应急设备、应急人员、应急物资，应急方案及措施一般，可操作性基本可行，得3分；</w:t>
            </w:r>
          </w:p>
          <w:p>
            <w:pPr>
              <w:spacing w:before="93" w:beforeLines="30" w:after="93" w:afterLines="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3、所列的应急设备、应急人员、应急物资不足，应急方案及措施不完善，可操作性差，得1分；</w:t>
            </w:r>
          </w:p>
          <w:p>
            <w:pPr>
              <w:spacing w:before="46" w:line="234" w:lineRule="auto"/>
              <w:ind w:right="183"/>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4、未提供相关内容则不得分。</w:t>
            </w:r>
          </w:p>
        </w:tc>
        <w:tc>
          <w:tcPr>
            <w:tcW w:w="91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83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合计</w:t>
            </w:r>
            <w:bookmarkEnd w:id="11"/>
          </w:p>
        </w:tc>
        <w:tc>
          <w:tcPr>
            <w:tcW w:w="580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c>
          <w:tcPr>
            <w:tcW w:w="91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50</w:t>
            </w:r>
          </w:p>
        </w:tc>
        <w:tc>
          <w:tcPr>
            <w:tcW w:w="83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sz w:val="28"/>
                <w:szCs w:val="28"/>
                <w:vertAlign w:val="baseline"/>
                <w:lang w:eastAsia="zh-CN"/>
              </w:rPr>
            </w:pPr>
          </w:p>
        </w:tc>
      </w:tr>
    </w:tbl>
    <w:p>
      <w:pPr>
        <w:pStyle w:val="3"/>
        <w:spacing w:before="91" w:line="223" w:lineRule="auto"/>
        <w:ind w:left="558"/>
        <w:outlineLvl w:val="1"/>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14:textOutline w14:w="5103" w14:cap="sq" w14:cmpd="sng">
            <w14:solidFill>
              <w14:srgbClr w14:val="000000"/>
            </w14:solidFill>
            <w14:prstDash w14:val="solid"/>
            <w14:bevel/>
          </w14:textOutline>
        </w:rPr>
        <w:t>（</w:t>
      </w:r>
      <w:r>
        <w:rPr>
          <w:rFonts w:hint="eastAsia" w:ascii="仿宋_GB2312" w:hAnsi="仿宋_GB2312" w:eastAsia="仿宋_GB2312" w:cs="仿宋_GB2312"/>
          <w:spacing w:val="-3"/>
          <w:sz w:val="28"/>
          <w:szCs w:val="28"/>
          <w:lang w:val="en-US" w:eastAsia="zh-CN"/>
          <w14:textOutline w14:w="5103" w14:cap="sq" w14:cmpd="sng">
            <w14:solidFill>
              <w14:srgbClr w14:val="000000"/>
            </w14:solidFill>
            <w14:prstDash w14:val="solid"/>
            <w14:bevel/>
          </w14:textOutline>
        </w:rPr>
        <w:t>4</w:t>
      </w:r>
      <w:r>
        <w:rPr>
          <w:rFonts w:hint="eastAsia" w:ascii="仿宋_GB2312" w:hAnsi="仿宋_GB2312" w:eastAsia="仿宋_GB2312" w:cs="仿宋_GB2312"/>
          <w:spacing w:val="-3"/>
          <w:sz w:val="28"/>
          <w:szCs w:val="28"/>
          <w14:textOutline w14:w="5103" w14:cap="sq" w14:cmpd="sng">
            <w14:solidFill>
              <w14:srgbClr w14:val="000000"/>
            </w14:solidFill>
            <w14:prstDash w14:val="solid"/>
            <w14:bevel/>
          </w14:textOutline>
        </w:rPr>
        <w:t>）</w:t>
      </w:r>
      <w:r>
        <w:rPr>
          <w:rFonts w:hint="eastAsia" w:ascii="仿宋_GB2312" w:hAnsi="仿宋_GB2312" w:eastAsia="仿宋_GB2312" w:cs="仿宋_GB2312"/>
          <w:spacing w:val="-3"/>
          <w:sz w:val="28"/>
          <w:szCs w:val="28"/>
          <w:lang w:val="en-US" w:eastAsia="zh-CN"/>
          <w14:textOutline w14:w="5103" w14:cap="sq" w14:cmpd="sng">
            <w14:solidFill>
              <w14:srgbClr w14:val="000000"/>
            </w14:solidFill>
            <w14:prstDash w14:val="solid"/>
            <w14:bevel/>
          </w14:textOutline>
        </w:rPr>
        <w:t>价格评分表</w:t>
      </w:r>
      <w:r>
        <w:rPr>
          <w:rFonts w:hint="eastAsia" w:ascii="仿宋_GB2312" w:hAnsi="仿宋_GB2312" w:eastAsia="仿宋_GB2312" w:cs="仿宋_GB2312"/>
          <w:spacing w:val="-3"/>
          <w:sz w:val="28"/>
          <w:szCs w:val="28"/>
          <w:lang w:eastAsia="zh-CN"/>
          <w14:textOutline w14:w="5103" w14:cap="sq" w14:cmpd="sng">
            <w14:solidFill>
              <w14:srgbClr w14:val="000000"/>
            </w14:solidFill>
            <w14:prstDash w14:val="solid"/>
            <w14:bevel/>
          </w14:textOutline>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5790"/>
        <w:gridCol w:w="91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13" w:name="_Toc6039"/>
            <w:r>
              <w:rPr>
                <w:rFonts w:hint="eastAsia" w:ascii="仿宋_GB2312" w:hAnsi="仿宋_GB2312" w:eastAsia="仿宋_GB2312" w:cs="仿宋_GB2312"/>
                <w:b/>
                <w:bCs/>
                <w:sz w:val="28"/>
                <w:szCs w:val="28"/>
                <w:vertAlign w:val="baseline"/>
                <w:lang w:val="en-US" w:eastAsia="zh-CN"/>
              </w:rPr>
              <w:t>评审项目</w:t>
            </w:r>
            <w:bookmarkEnd w:id="13"/>
          </w:p>
        </w:tc>
        <w:tc>
          <w:tcPr>
            <w:tcW w:w="5790"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14" w:name="_Toc2856"/>
            <w:r>
              <w:rPr>
                <w:rFonts w:hint="eastAsia" w:ascii="仿宋_GB2312" w:hAnsi="仿宋_GB2312" w:eastAsia="仿宋_GB2312" w:cs="仿宋_GB2312"/>
                <w:b/>
                <w:bCs/>
                <w:sz w:val="28"/>
                <w:szCs w:val="28"/>
                <w:vertAlign w:val="baseline"/>
                <w:lang w:val="en-US" w:eastAsia="zh-CN"/>
              </w:rPr>
              <w:t>评分标准</w:t>
            </w:r>
            <w:bookmarkEnd w:id="14"/>
          </w:p>
        </w:tc>
        <w:tc>
          <w:tcPr>
            <w:tcW w:w="915"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15" w:name="_Toc26221"/>
            <w:r>
              <w:rPr>
                <w:rFonts w:hint="eastAsia" w:ascii="仿宋_GB2312" w:hAnsi="仿宋_GB2312" w:eastAsia="仿宋_GB2312" w:cs="仿宋_GB2312"/>
                <w:b/>
                <w:bCs/>
                <w:sz w:val="28"/>
                <w:szCs w:val="28"/>
                <w:vertAlign w:val="baseline"/>
                <w:lang w:val="en-US" w:eastAsia="zh-CN"/>
              </w:rPr>
              <w:t>分值</w:t>
            </w:r>
            <w:bookmarkEnd w:id="15"/>
          </w:p>
        </w:tc>
        <w:tc>
          <w:tcPr>
            <w:tcW w:w="835" w:type="dxa"/>
          </w:tcPr>
          <w:p>
            <w:pPr>
              <w:keepNext w:val="0"/>
              <w:keepLines w:val="0"/>
              <w:pageBreakBefore w:val="0"/>
              <w:widowControl w:val="0"/>
              <w:kinsoku/>
              <w:wordWrap/>
              <w:overflowPunct/>
              <w:topLinePunct w:val="0"/>
              <w:autoSpaceDE/>
              <w:autoSpaceDN/>
              <w:bidi w:val="0"/>
              <w:adjustRightInd/>
              <w:snapToGrid/>
              <w:spacing w:line="91" w:lineRule="auto"/>
              <w:jc w:val="center"/>
              <w:textAlignment w:val="auto"/>
              <w:outlineLvl w:val="0"/>
              <w:rPr>
                <w:rFonts w:hint="default" w:ascii="仿宋_GB2312" w:hAnsi="仿宋_GB2312" w:eastAsia="仿宋_GB2312" w:cs="仿宋_GB2312"/>
                <w:b/>
                <w:bCs/>
                <w:sz w:val="28"/>
                <w:szCs w:val="28"/>
                <w:vertAlign w:val="baseline"/>
                <w:lang w:val="en-US" w:eastAsia="zh-CN"/>
              </w:rPr>
            </w:pPr>
            <w:bookmarkStart w:id="16" w:name="_Toc8804"/>
            <w:r>
              <w:rPr>
                <w:rFonts w:hint="eastAsia" w:ascii="仿宋_GB2312" w:hAnsi="仿宋_GB2312" w:eastAsia="仿宋_GB2312" w:cs="仿宋_GB2312"/>
                <w:b/>
                <w:bCs/>
                <w:sz w:val="28"/>
                <w:szCs w:val="28"/>
                <w:vertAlign w:val="baseline"/>
                <w:lang w:val="en-US" w:eastAsia="zh-CN"/>
              </w:rPr>
              <w:t>评分</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vAlign w:val="center"/>
          </w:tcPr>
          <w:p>
            <w:pPr>
              <w:spacing w:before="91" w:line="223" w:lineRule="auto"/>
              <w:jc w:val="center"/>
              <w:rPr>
                <w:rFonts w:hint="default" w:ascii="仿宋_GB2312" w:hAnsi="仿宋_GB2312" w:eastAsia="仿宋_GB2312" w:cs="仿宋_GB2312"/>
                <w:b/>
                <w:bCs/>
                <w:sz w:val="28"/>
                <w:szCs w:val="28"/>
                <w:vertAlign w:val="baseline"/>
                <w:lang w:val="en-US" w:eastAsia="zh-CN"/>
              </w:rPr>
            </w:pPr>
            <w:r>
              <w:rPr>
                <w:rFonts w:ascii="仿宋" w:hAnsi="仿宋" w:eastAsia="仿宋" w:cs="仿宋"/>
                <w:spacing w:val="-5"/>
                <w:sz w:val="28"/>
                <w:szCs w:val="28"/>
              </w:rPr>
              <w:t>价格部分</w:t>
            </w:r>
          </w:p>
        </w:tc>
        <w:tc>
          <w:tcPr>
            <w:tcW w:w="5790" w:type="dxa"/>
            <w:vAlign w:val="center"/>
          </w:tcPr>
          <w:p>
            <w:pPr>
              <w:spacing w:before="93" w:beforeLines="30" w:after="93" w:afterLines="3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本项目价格分统一采用低价优先法计算，即满足招标文件要求且最后不含税总价报价最低的投标人的不含税总价报价为基准价，其价格分为满分。</w:t>
            </w:r>
          </w:p>
          <w:p>
            <w:pPr>
              <w:spacing w:before="93" w:beforeLines="30" w:after="93" w:afterLines="3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其他投标人的价格分统一按照下列公式计算：报价得分=（基准价/评标价）×20。</w:t>
            </w:r>
          </w:p>
          <w:p>
            <w:pPr>
              <w:spacing w:before="93" w:beforeLines="30" w:after="93" w:afterLines="3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说明：</w:t>
            </w:r>
          </w:p>
          <w:p>
            <w:pPr>
              <w:spacing w:before="93" w:beforeLines="30" w:after="93" w:afterLines="3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本项目评标价为投标人对应报价表各类型所报的价格。其中，“住宿”以单价+服务费为评审依据；“餐饮”以单价+服务费为评审依据；“车辆出行”以三类车辆的单价+服务费为评审依据；“订票”以服务费为评审依据；“接待及地陪”以单价为评审依据。</w:t>
            </w:r>
          </w:p>
          <w:p>
            <w:pPr>
              <w:spacing w:before="93" w:beforeLines="30" w:after="93" w:afterLines="3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（2）本标包中，分别将各类型的评标价代入公式计算，并根据各类型所占的比例进行加权计算，汇总算出最终的价格得分。其中，“住宿”占比权重为10%；“餐饮”占比权重为10%；“车辆出行”占比权重为60%</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en-US" w:eastAsia="zh-CN"/>
              </w:rPr>
              <w:t>其中商务车占比35%，中巴车占比15%，大巴车占比10%</w:t>
            </w:r>
            <w:r>
              <w:rPr>
                <w:rFonts w:hint="eastAsia" w:ascii="仿宋_GB2312" w:hAnsi="仿宋_GB2312" w:eastAsia="仿宋_GB2312" w:cs="仿宋_GB2312"/>
                <w:bCs/>
                <w:sz w:val="24"/>
                <w:szCs w:val="24"/>
              </w:rPr>
              <w:t>；“订票”占比权重为10%；“接待及地陪”占比权重为10%。</w:t>
            </w:r>
          </w:p>
          <w:p>
            <w:pPr>
              <w:spacing w:before="93" w:beforeLines="30" w:after="93" w:afterLines="30"/>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（3）如价格有算术性修正，请以修正后的价格为准。</w:t>
            </w:r>
          </w:p>
          <w:p>
            <w:pPr>
              <w:spacing w:before="46" w:line="234" w:lineRule="auto"/>
              <w:ind w:right="183"/>
              <w:jc w:val="left"/>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Cs/>
                <w:sz w:val="24"/>
                <w:szCs w:val="24"/>
              </w:rPr>
              <w:t>备注：价格得分四舍五入，小数点后保留两位有</w:t>
            </w:r>
            <w:r>
              <w:rPr>
                <w:rFonts w:hint="eastAsia" w:ascii="仿宋_GB2312" w:hAnsi="仿宋_GB2312" w:eastAsia="仿宋_GB2312" w:cs="仿宋_GB2312"/>
                <w:bCs/>
                <w:sz w:val="24"/>
                <w:szCs w:val="24"/>
                <w:lang w:val="en-US" w:eastAsia="zh-CN"/>
              </w:rPr>
              <w:t>效</w:t>
            </w:r>
            <w:r>
              <w:rPr>
                <w:rFonts w:hint="eastAsia" w:ascii="仿宋_GB2312" w:hAnsi="仿宋_GB2312" w:eastAsia="仿宋_GB2312" w:cs="仿宋_GB2312"/>
                <w:bCs/>
                <w:sz w:val="24"/>
                <w:szCs w:val="24"/>
              </w:rPr>
              <w:t>数。</w:t>
            </w:r>
          </w:p>
        </w:tc>
        <w:tc>
          <w:tcPr>
            <w:tcW w:w="915" w:type="dxa"/>
            <w:vAlign w:val="center"/>
          </w:tcPr>
          <w:p>
            <w:pPr>
              <w:spacing w:before="91" w:line="181" w:lineRule="auto"/>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20</w:t>
            </w:r>
          </w:p>
        </w:tc>
        <w:tc>
          <w:tcPr>
            <w:tcW w:w="835" w:type="dxa"/>
            <w:vAlign w:val="center"/>
          </w:tcPr>
          <w:p>
            <w:pPr>
              <w:jc w:val="center"/>
              <w:rPr>
                <w:rFonts w:hint="eastAsia" w:ascii="仿宋_GB2312" w:hAnsi="仿宋_GB2312" w:eastAsia="仿宋_GB2312" w:cs="仿宋_GB2312"/>
                <w:b/>
                <w:bCs/>
                <w:sz w:val="28"/>
                <w:szCs w:val="28"/>
                <w:vertAlign w:val="baseline"/>
                <w:lang w:eastAsia="zh-CN"/>
              </w:rPr>
            </w:pPr>
          </w:p>
        </w:tc>
      </w:tr>
      <w:bookmarkEnd w:id="0"/>
      <w:bookmarkEnd w:id="1"/>
    </w:tbl>
    <w:p>
      <w:pPr>
        <w:spacing w:line="360" w:lineRule="auto"/>
        <w:jc w:val="both"/>
        <w:rPr>
          <w:rFonts w:hint="eastAsia" w:ascii="方正小标宋简体" w:hAnsi="方正小标宋简体" w:eastAsia="方正小标宋简体" w:cs="方正小标宋简体"/>
          <w:b/>
          <w:sz w:val="32"/>
          <w:szCs w:val="32"/>
          <w:lang w:val="en-US" w:eastAsia="zh-CN"/>
        </w:rPr>
      </w:pPr>
    </w:p>
    <w:p/>
    <w:sectPr>
      <w:footerReference r:id="rId3" w:type="default"/>
      <w:pgSz w:w="11906" w:h="16838"/>
      <w:pgMar w:top="2098" w:right="1587" w:bottom="1984" w:left="1587" w:header="851" w:footer="70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84D8541-1DB7-487A-9776-17A59145B674}"/>
  </w:font>
  <w:font w:name="方正小标宋简体">
    <w:panose1 w:val="02000000000000000000"/>
    <w:charset w:val="86"/>
    <w:family w:val="auto"/>
    <w:pitch w:val="default"/>
    <w:sig w:usb0="00000001" w:usb1="08000000" w:usb2="00000000" w:usb3="00000000" w:csb0="00040000" w:csb1="00000000"/>
    <w:embedRegular r:id="rId2" w:fontKey="{3F0582AD-BF7B-4C47-86C5-587ABE90304E}"/>
  </w:font>
  <w:font w:name="仿宋_GB2312">
    <w:panose1 w:val="02010609030101010101"/>
    <w:charset w:val="86"/>
    <w:family w:val="modern"/>
    <w:pitch w:val="default"/>
    <w:sig w:usb0="00000001" w:usb1="080E0000" w:usb2="00000000" w:usb3="00000000" w:csb0="00040000" w:csb1="00000000"/>
    <w:embedRegular r:id="rId3" w:fontKey="{4907C2F7-90A8-49AB-9292-6839B46B41E8}"/>
  </w:font>
  <w:font w:name="仿宋">
    <w:panose1 w:val="02010609060101010101"/>
    <w:charset w:val="86"/>
    <w:family w:val="modern"/>
    <w:pitch w:val="default"/>
    <w:sig w:usb0="800002BF" w:usb1="38CF7CFA" w:usb2="00000016" w:usb3="00000000" w:csb0="00040001" w:csb1="00000000"/>
    <w:embedRegular r:id="rId4" w:fontKey="{524D7153-8530-4035-AE32-51444D11069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YThjMWI2ZjYyNjkyZWFmMTk2N2Y3NGM0ODJkNzkifQ=="/>
  </w:docVars>
  <w:rsids>
    <w:rsidRoot w:val="63C95166"/>
    <w:rsid w:val="63C95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99"/>
    <w:pPr>
      <w:spacing w:after="120"/>
    </w:pPr>
  </w:style>
  <w:style w:type="paragraph" w:styleId="4">
    <w:name w:val="footer"/>
    <w:basedOn w:val="1"/>
    <w:unhideWhenUsed/>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2024-04-19T06:48:00Z</dcterms:created>
  <dc:creator>Kiko.希</dc:creator>
  <cp:lastModifiedBy>Kiko.希</cp:lastModifiedBy>
  <dcterms:modified xsi:type="dcterms:W3CDTF">2024-04-19T06:56:37Z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D38ED86E6CB8464ABC9757D4043577A4_11</vt:lpwstr>
  </property>
</Properties>
</file>