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val="en-US" w:eastAsia="zh-CN"/>
        </w:rPr>
        <w:t>附件三：评分标准</w:t>
      </w:r>
    </w:p>
    <w:p>
      <w:pPr>
        <w:pStyle w:val="2"/>
        <w:spacing w:before="91" w:line="223" w:lineRule="auto"/>
        <w:ind w:left="558"/>
        <w:outlineLvl w:val="1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pacing w:val="-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（1）</w:t>
      </w:r>
      <w:r>
        <w:rPr>
          <w:rFonts w:hint="eastAsia" w:ascii="仿宋_GB2312" w:hAnsi="仿宋_GB2312" w:eastAsia="仿宋_GB2312" w:cs="仿宋_GB2312"/>
          <w:b w:val="0"/>
          <w:bCs w:val="0"/>
          <w:spacing w:val="-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分权值</w:t>
      </w:r>
      <w:r>
        <w:rPr>
          <w:rFonts w:hint="eastAsia" w:ascii="仿宋_GB2312" w:hAnsi="仿宋_GB2312" w:eastAsia="仿宋_GB2312" w:cs="仿宋_GB2312"/>
          <w:b w:val="0"/>
          <w:bCs w:val="0"/>
          <w:spacing w:val="-3"/>
          <w:sz w:val="28"/>
          <w:szCs w:val="28"/>
          <w:lang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pacing w:val="-5"/>
          <w:sz w:val="28"/>
          <w:szCs w:val="28"/>
        </w:rPr>
        <w:t>总分为</w:t>
      </w:r>
      <w:r>
        <w:rPr>
          <w:rFonts w:hint="eastAsia" w:ascii="仿宋_GB2312" w:hAnsi="仿宋_GB2312" w:eastAsia="仿宋_GB2312" w:cs="仿宋_GB2312"/>
          <w:b w:val="0"/>
          <w:bCs w:val="0"/>
          <w:spacing w:val="-37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pacing w:val="-5"/>
          <w:sz w:val="28"/>
          <w:szCs w:val="28"/>
        </w:rPr>
        <w:t>100</w:t>
      </w:r>
      <w:r>
        <w:rPr>
          <w:rFonts w:hint="eastAsia" w:ascii="仿宋_GB2312" w:hAnsi="仿宋_GB2312" w:eastAsia="仿宋_GB2312" w:cs="仿宋_GB2312"/>
          <w:b w:val="0"/>
          <w:bCs w:val="0"/>
          <w:spacing w:val="-48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pacing w:val="-5"/>
          <w:sz w:val="28"/>
          <w:szCs w:val="28"/>
        </w:rPr>
        <w:t>分，</w:t>
      </w:r>
      <w:r>
        <w:rPr>
          <w:rFonts w:hint="eastAsia" w:ascii="仿宋_GB2312" w:hAnsi="仿宋_GB2312" w:eastAsia="仿宋_GB2312" w:cs="仿宋_GB2312"/>
          <w:spacing w:val="-5"/>
          <w:sz w:val="28"/>
          <w:szCs w:val="28"/>
        </w:rPr>
        <w:t>评分分值分配如下：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7"/>
        <w:gridCol w:w="2237"/>
        <w:gridCol w:w="2237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237" w:type="dxa"/>
            <w:vAlign w:val="center"/>
          </w:tcPr>
          <w:p>
            <w:pPr>
              <w:spacing w:before="201" w:line="223" w:lineRule="auto"/>
              <w:ind w:left="432" w:left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评分项目</w:t>
            </w:r>
          </w:p>
        </w:tc>
        <w:tc>
          <w:tcPr>
            <w:tcW w:w="2237" w:type="dxa"/>
            <w:vAlign w:val="center"/>
          </w:tcPr>
          <w:p>
            <w:pPr>
              <w:spacing w:before="201" w:line="223" w:lineRule="auto"/>
              <w:ind w:left="533" w:left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商务评分</w:t>
            </w:r>
          </w:p>
        </w:tc>
        <w:tc>
          <w:tcPr>
            <w:tcW w:w="2237" w:type="dxa"/>
            <w:vAlign w:val="center"/>
          </w:tcPr>
          <w:p>
            <w:pPr>
              <w:spacing w:before="201" w:line="223" w:lineRule="auto"/>
              <w:ind w:left="586" w:left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技术评分</w:t>
            </w:r>
          </w:p>
        </w:tc>
        <w:tc>
          <w:tcPr>
            <w:tcW w:w="2237" w:type="dxa"/>
            <w:vAlign w:val="center"/>
          </w:tcPr>
          <w:p>
            <w:pPr>
              <w:spacing w:before="201" w:line="223" w:lineRule="auto"/>
              <w:ind w:left="517" w:left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价格评分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237" w:type="dxa"/>
            <w:vAlign w:val="center"/>
          </w:tcPr>
          <w:p>
            <w:pPr>
              <w:spacing w:before="200" w:line="224" w:lineRule="auto"/>
              <w:ind w:left="481" w:left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  <w:t>100</w:t>
            </w:r>
            <w:r>
              <w:rPr>
                <w:rFonts w:hint="eastAsia" w:ascii="仿宋_GB2312" w:hAnsi="仿宋_GB2312" w:eastAsia="仿宋_GB2312" w:cs="仿宋_GB2312"/>
                <w:spacing w:val="-5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  <w:t>分值</w:t>
            </w:r>
          </w:p>
        </w:tc>
        <w:tc>
          <w:tcPr>
            <w:tcW w:w="2237" w:type="dxa"/>
            <w:vAlign w:val="center"/>
          </w:tcPr>
          <w:p>
            <w:pPr>
              <w:spacing w:before="202" w:line="224" w:lineRule="auto"/>
              <w:ind w:left="767" w:left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-50"/>
                <w:sz w:val="28"/>
                <w:szCs w:val="28"/>
                <w:u w:val="single" w:color="auto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spacing w:val="-50"/>
                <w:sz w:val="28"/>
                <w:szCs w:val="28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分</w:t>
            </w:r>
          </w:p>
        </w:tc>
        <w:tc>
          <w:tcPr>
            <w:tcW w:w="2237" w:type="dxa"/>
            <w:vAlign w:val="center"/>
          </w:tcPr>
          <w:p>
            <w:pPr>
              <w:spacing w:before="202" w:line="224" w:lineRule="auto"/>
              <w:ind w:left="829" w:left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-50"/>
                <w:sz w:val="28"/>
                <w:szCs w:val="28"/>
                <w:u w:val="single" w:color="auto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分</w:t>
            </w:r>
          </w:p>
        </w:tc>
        <w:tc>
          <w:tcPr>
            <w:tcW w:w="2237" w:type="dxa"/>
            <w:vAlign w:val="center"/>
          </w:tcPr>
          <w:p>
            <w:pPr>
              <w:spacing w:before="202" w:line="224" w:lineRule="auto"/>
              <w:ind w:left="775" w:left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-50"/>
                <w:sz w:val="28"/>
                <w:szCs w:val="28"/>
                <w:u w:val="single" w:color="auto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分</w:t>
            </w:r>
          </w:p>
        </w:tc>
      </w:tr>
    </w:tbl>
    <w:p>
      <w:pPr>
        <w:pStyle w:val="3"/>
      </w:pPr>
    </w:p>
    <w:p>
      <w:pPr>
        <w:pStyle w:val="2"/>
        <w:spacing w:before="91" w:line="223" w:lineRule="auto"/>
        <w:ind w:left="558"/>
        <w:outlineLvl w:val="1"/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Toc24782"/>
      <w:bookmarkStart w:id="1" w:name="_Toc27606"/>
      <w:r>
        <w:rPr>
          <w:rFonts w:hint="eastAsia" w:ascii="仿宋_GB2312" w:hAnsi="仿宋_GB2312" w:eastAsia="仿宋_GB2312" w:cs="仿宋_GB2312"/>
          <w:spacing w:val="-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val="en-US"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）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val="en-US"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商务评分表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7"/>
        <w:gridCol w:w="4733"/>
        <w:gridCol w:w="1167"/>
        <w:gridCol w:w="1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1" w:lineRule="auto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bookmarkStart w:id="2" w:name="_Toc7853"/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评审项目</w:t>
            </w:r>
            <w:bookmarkEnd w:id="2"/>
          </w:p>
        </w:tc>
        <w:tc>
          <w:tcPr>
            <w:tcW w:w="47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1" w:lineRule="auto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bookmarkStart w:id="3" w:name="_Toc17395"/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评分标准</w:t>
            </w:r>
            <w:bookmarkEnd w:id="3"/>
          </w:p>
        </w:tc>
        <w:tc>
          <w:tcPr>
            <w:tcW w:w="11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1" w:lineRule="auto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bookmarkStart w:id="4" w:name="_Toc16603"/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分值</w:t>
            </w:r>
            <w:bookmarkEnd w:id="4"/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1" w:lineRule="auto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bookmarkStart w:id="5" w:name="_Toc14247"/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评分</w:t>
            </w:r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0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bookmarkStart w:id="6" w:name="_Toc12198"/>
            <w:r>
              <w:rPr>
                <w:rFonts w:hint="eastAsia" w:ascii="仿宋" w:hAnsi="仿宋" w:eastAsia="仿宋" w:cs="仿宋"/>
                <w:spacing w:val="-5"/>
                <w:sz w:val="28"/>
                <w:szCs w:val="28"/>
                <w:lang w:val="en-US" w:eastAsia="zh-CN"/>
              </w:rPr>
              <w:t>服务团队情况</w:t>
            </w:r>
            <w:bookmarkEnd w:id="6"/>
          </w:p>
        </w:tc>
        <w:tc>
          <w:tcPr>
            <w:tcW w:w="4733" w:type="dxa"/>
          </w:tcPr>
          <w:p>
            <w:pPr>
              <w:spacing w:before="46" w:line="234" w:lineRule="auto"/>
              <w:ind w:right="183"/>
              <w:jc w:val="both"/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  <w:lang w:val="en-US" w:eastAsia="zh-CN"/>
              </w:rPr>
              <w:t>供应商需配备完善的线下活动服务团队（包含但不限于活动策划、活动执行、文案策划、摄影摄像等人员），每提供1人得1分，最高得10分。</w:t>
            </w:r>
          </w:p>
          <w:p>
            <w:pPr>
              <w:spacing w:before="46" w:line="234" w:lineRule="auto"/>
              <w:ind w:right="183"/>
              <w:jc w:val="both"/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  <w:lang w:val="en-US" w:eastAsia="zh-CN"/>
              </w:rPr>
              <w:t>（注：提供上述人员在供应商单位交纳近6个月内任意一个月的社保证明）</w:t>
            </w:r>
          </w:p>
        </w:tc>
        <w:tc>
          <w:tcPr>
            <w:tcW w:w="11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037" w:type="dxa"/>
          </w:tcPr>
          <w:p>
            <w:pPr>
              <w:spacing w:before="91" w:line="461" w:lineRule="exact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同类业绩情况</w:t>
            </w:r>
          </w:p>
        </w:tc>
        <w:tc>
          <w:tcPr>
            <w:tcW w:w="4733" w:type="dxa"/>
          </w:tcPr>
          <w:p>
            <w:pPr>
              <w:spacing w:before="46" w:line="234" w:lineRule="auto"/>
              <w:ind w:right="183"/>
              <w:jc w:val="both"/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  <w:lang w:eastAsia="zh-CN"/>
              </w:rPr>
              <w:t>执行团队需有丰富的活动策划执行类</w:t>
            </w: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  <w:lang w:val="en-US" w:eastAsia="zh-CN"/>
              </w:rPr>
              <w:t>或宣传推广类</w:t>
            </w: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  <w:lang w:eastAsia="zh-CN"/>
              </w:rPr>
              <w:t>项目（包括</w:t>
            </w: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  <w:lang w:val="en-US" w:eastAsia="zh-CN"/>
              </w:rPr>
              <w:t>国企单位、</w:t>
            </w: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  <w:lang w:eastAsia="zh-CN"/>
              </w:rPr>
              <w:t>政务单位、媒体单位大型活动项目等）。要求提供合作金额</w:t>
            </w: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  <w:lang w:eastAsia="zh-CN"/>
              </w:rPr>
              <w:t>万元</w:t>
            </w: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  <w:lang w:val="en-US" w:eastAsia="zh-CN"/>
              </w:rPr>
              <w:t>以上</w:t>
            </w: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  <w:lang w:eastAsia="zh-CN"/>
              </w:rPr>
              <w:t>的类似项目合同以及类似项目案例介绍，每提供1个得4分，合作金额</w:t>
            </w: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  <w:lang w:val="en-US" w:eastAsia="zh-CN"/>
              </w:rPr>
              <w:t>在10万元以下</w:t>
            </w: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  <w:lang w:eastAsia="zh-CN"/>
              </w:rPr>
              <w:t>的类似项目合同以及类似项目案例介绍（</w:t>
            </w: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  <w:lang w:val="en-US" w:eastAsia="zh-CN"/>
              </w:rPr>
              <w:t>最低金额不得低于3万），每提供1个得2分，</w:t>
            </w: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  <w:lang w:eastAsia="zh-CN"/>
              </w:rPr>
              <w:t>最高得20分；不提供不得分。</w:t>
            </w:r>
          </w:p>
          <w:p>
            <w:pPr>
              <w:spacing w:before="46" w:line="234" w:lineRule="auto"/>
              <w:ind w:right="183"/>
              <w:jc w:val="both"/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  <w:lang w:eastAsia="zh-CN"/>
              </w:rPr>
              <w:t>（需至少提供合同内容页及盖章页）</w:t>
            </w:r>
          </w:p>
        </w:tc>
        <w:tc>
          <w:tcPr>
            <w:tcW w:w="11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037" w:type="dxa"/>
            <w:vAlign w:val="center"/>
          </w:tcPr>
          <w:p>
            <w:pPr>
              <w:spacing w:before="91" w:line="461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bookmarkStart w:id="7" w:name="_Toc8168"/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本地化服务支撑能力</w:t>
            </w:r>
          </w:p>
          <w:p>
            <w:pPr>
              <w:snapToGrid w:val="0"/>
              <w:spacing w:line="4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733" w:type="dxa"/>
            <w:vAlign w:val="center"/>
          </w:tcPr>
          <w:p>
            <w:pPr>
              <w:spacing w:before="46" w:line="234" w:lineRule="auto"/>
              <w:ind w:right="183"/>
              <w:jc w:val="both"/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  <w:lang w:eastAsia="zh-CN"/>
              </w:rPr>
              <w:t>具有本地服务支撑能力。响应人总部、分公司或服务团队在</w:t>
            </w: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  <w:lang w:val="en-US" w:eastAsia="zh-CN"/>
              </w:rPr>
              <w:t>广东省内</w:t>
            </w: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  <w:lang w:eastAsia="zh-CN"/>
              </w:rPr>
              <w:t xml:space="preserve">的，提供承诺函承诺成交后在项目实施地成立本地服务团队的，得10分，否则不得分。 </w:t>
            </w:r>
          </w:p>
          <w:p>
            <w:pPr>
              <w:spacing w:before="46" w:line="234" w:lineRule="auto"/>
              <w:ind w:right="183"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  <w:lang w:eastAsia="zh-CN"/>
              </w:rPr>
              <w:t>注：提供营业执照复印件，或有效期内的办公室租赁合同复印件（租赁合同租赁方须为响应人或其分支机构，租赁合同内容须体现租赁用途为写字楼或办公用途），或承诺函等证明文件</w:t>
            </w:r>
          </w:p>
        </w:tc>
        <w:tc>
          <w:tcPr>
            <w:tcW w:w="1167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合计</w:t>
            </w:r>
            <w:bookmarkEnd w:id="7"/>
          </w:p>
        </w:tc>
        <w:tc>
          <w:tcPr>
            <w:tcW w:w="691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</w:tr>
    </w:tbl>
    <w:p>
      <w:pPr>
        <w:pStyle w:val="2"/>
        <w:spacing w:before="91" w:line="223" w:lineRule="auto"/>
        <w:ind w:left="558"/>
        <w:outlineLvl w:val="1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val="en-US"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3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）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val="en-US"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技术评分表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2"/>
        <w:gridCol w:w="4748"/>
        <w:gridCol w:w="1167"/>
        <w:gridCol w:w="1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1" w:lineRule="auto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bookmarkStart w:id="8" w:name="_Toc8398"/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评审项目</w:t>
            </w:r>
            <w:bookmarkEnd w:id="8"/>
          </w:p>
        </w:tc>
        <w:tc>
          <w:tcPr>
            <w:tcW w:w="47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1" w:lineRule="auto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bookmarkStart w:id="9" w:name="_Toc5264"/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评分标准</w:t>
            </w:r>
            <w:bookmarkEnd w:id="9"/>
          </w:p>
        </w:tc>
        <w:tc>
          <w:tcPr>
            <w:tcW w:w="11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1" w:lineRule="auto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bookmarkStart w:id="10" w:name="_Toc10890"/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分值</w:t>
            </w:r>
            <w:bookmarkEnd w:id="10"/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1" w:lineRule="auto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bookmarkStart w:id="11" w:name="_Toc18057"/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评分</w:t>
            </w:r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0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bookmarkStart w:id="12" w:name="_Toc946"/>
            <w:r>
              <w:rPr>
                <w:rFonts w:hint="eastAsia" w:ascii="仿宋" w:hAnsi="仿宋" w:eastAsia="仿宋" w:cs="仿宋"/>
                <w:spacing w:val="-5"/>
                <w:sz w:val="28"/>
                <w:szCs w:val="28"/>
                <w:lang w:val="en-US" w:eastAsia="zh-CN"/>
              </w:rPr>
              <w:t>项目服务方案</w:t>
            </w:r>
            <w:bookmarkEnd w:id="12"/>
          </w:p>
        </w:tc>
        <w:tc>
          <w:tcPr>
            <w:tcW w:w="4748" w:type="dxa"/>
          </w:tcPr>
          <w:p>
            <w:pPr>
              <w:spacing w:before="46" w:line="234" w:lineRule="auto"/>
              <w:ind w:right="183"/>
              <w:jc w:val="both"/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  <w:lang w:eastAsia="zh-CN"/>
              </w:rPr>
              <w:t>供应商需按照对项目需求的理解，制定详细可靠的线下宣传活动策划与执行服务方案。</w:t>
            </w:r>
          </w:p>
          <w:p>
            <w:pPr>
              <w:spacing w:before="46" w:line="234" w:lineRule="auto"/>
              <w:ind w:right="183"/>
              <w:jc w:val="both"/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  <w:lang w:eastAsia="zh-CN"/>
              </w:rPr>
              <w:t>1.完全满足并优于采购需求，得</w:t>
            </w: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  <w:lang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  <w:lang w:eastAsia="zh-CN"/>
              </w:rPr>
              <w:t>分；</w:t>
            </w:r>
          </w:p>
          <w:p>
            <w:pPr>
              <w:spacing w:before="46" w:line="234" w:lineRule="auto"/>
              <w:ind w:right="183"/>
              <w:jc w:val="both"/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  <w:lang w:eastAsia="zh-CN"/>
              </w:rPr>
              <w:t>2.满足采购需求，得</w:t>
            </w: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  <w:lang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  <w:lang w:eastAsia="zh-CN"/>
              </w:rPr>
              <w:t>分；</w:t>
            </w:r>
          </w:p>
          <w:p>
            <w:pPr>
              <w:spacing w:before="46" w:line="234" w:lineRule="auto"/>
              <w:ind w:right="183"/>
              <w:jc w:val="both"/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  <w:lang w:eastAsia="zh-CN"/>
              </w:rPr>
              <w:t>3.不能完全满足采购需求，得0-</w:t>
            </w: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  <w:lang w:eastAsia="zh-CN"/>
              </w:rPr>
              <w:t>分</w:t>
            </w:r>
          </w:p>
        </w:tc>
        <w:tc>
          <w:tcPr>
            <w:tcW w:w="11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022" w:type="dxa"/>
          </w:tcPr>
          <w:p>
            <w:pPr>
              <w:spacing w:before="91" w:line="461" w:lineRule="exact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项目执行进度计划安排</w:t>
            </w:r>
          </w:p>
        </w:tc>
        <w:tc>
          <w:tcPr>
            <w:tcW w:w="4748" w:type="dxa"/>
          </w:tcPr>
          <w:p>
            <w:pPr>
              <w:spacing w:before="46" w:line="234" w:lineRule="auto"/>
              <w:ind w:right="183"/>
              <w:jc w:val="both"/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  <w:lang w:eastAsia="zh-CN"/>
              </w:rPr>
              <w:t>供应商需根据项目需求，制定详细可靠的项目计划安排，从前期策划、中期执行到后期成果验收的整体实施进度。</w:t>
            </w:r>
          </w:p>
          <w:p>
            <w:pPr>
              <w:spacing w:before="46" w:line="234" w:lineRule="auto"/>
              <w:ind w:right="183"/>
              <w:jc w:val="both"/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  <w:lang w:eastAsia="zh-CN"/>
              </w:rPr>
              <w:t>完全满足并优于采购需求，得10-15分；</w:t>
            </w:r>
          </w:p>
          <w:p>
            <w:pPr>
              <w:spacing w:before="46" w:line="234" w:lineRule="auto"/>
              <w:ind w:right="183"/>
              <w:jc w:val="both"/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  <w:lang w:eastAsia="zh-CN"/>
              </w:rPr>
              <w:t>2.满足采购需求，得6-9分；</w:t>
            </w:r>
          </w:p>
          <w:p>
            <w:pPr>
              <w:spacing w:before="46" w:line="234" w:lineRule="auto"/>
              <w:ind w:right="183"/>
              <w:jc w:val="both"/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  <w:lang w:eastAsia="zh-CN"/>
              </w:rPr>
              <w:t>3.不能完全满足采购需求，得0-5分</w:t>
            </w:r>
          </w:p>
        </w:tc>
        <w:tc>
          <w:tcPr>
            <w:tcW w:w="11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bookmarkStart w:id="13" w:name="_Toc14945"/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合计</w:t>
            </w:r>
            <w:bookmarkEnd w:id="13"/>
          </w:p>
        </w:tc>
        <w:tc>
          <w:tcPr>
            <w:tcW w:w="692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</w:tr>
    </w:tbl>
    <w:p>
      <w:pPr>
        <w:pStyle w:val="2"/>
        <w:spacing w:before="91" w:line="223" w:lineRule="auto"/>
        <w:ind w:left="558"/>
        <w:outlineLvl w:val="1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val="en-US"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）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val="en-US"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价格评分表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7"/>
        <w:gridCol w:w="4750"/>
        <w:gridCol w:w="1167"/>
        <w:gridCol w:w="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1" w:lineRule="auto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bookmarkStart w:id="14" w:name="_Toc6039"/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评审项目</w:t>
            </w:r>
            <w:bookmarkEnd w:id="14"/>
          </w:p>
        </w:tc>
        <w:tc>
          <w:tcPr>
            <w:tcW w:w="4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1" w:lineRule="auto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bookmarkStart w:id="15" w:name="_Toc2856"/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评分标准</w:t>
            </w:r>
            <w:bookmarkEnd w:id="15"/>
          </w:p>
        </w:tc>
        <w:tc>
          <w:tcPr>
            <w:tcW w:w="11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1" w:lineRule="auto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bookmarkStart w:id="16" w:name="_Toc26221"/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分值</w:t>
            </w:r>
            <w:bookmarkEnd w:id="16"/>
          </w:p>
        </w:tc>
        <w:tc>
          <w:tcPr>
            <w:tcW w:w="9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1" w:lineRule="auto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bookmarkStart w:id="17" w:name="_Toc8804"/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评分</w:t>
            </w:r>
            <w:bookmarkEnd w:id="1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7" w:type="dxa"/>
            <w:vAlign w:val="center"/>
          </w:tcPr>
          <w:p>
            <w:pPr>
              <w:spacing w:before="91" w:line="223" w:lineRule="auto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价格部分</w:t>
            </w:r>
          </w:p>
        </w:tc>
        <w:tc>
          <w:tcPr>
            <w:tcW w:w="4750" w:type="dxa"/>
            <w:vAlign w:val="center"/>
          </w:tcPr>
          <w:p>
            <w:pPr>
              <w:spacing w:before="46" w:line="234" w:lineRule="auto"/>
              <w:ind w:right="183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计算价格评分：各有效投标供应商的评标</w:t>
            </w:r>
            <w:r>
              <w:rPr>
                <w:rFonts w:hint="eastAsia" w:ascii="仿宋_GB2312" w:hAnsi="仿宋_GB2312" w:eastAsia="仿宋_GB2312" w:cs="仿宋_GB2312"/>
                <w:spacing w:val="16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价中，取得最低者作为基准价，各有效投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标供应商的价格评分统一按照下列公式计</w:t>
            </w:r>
            <w:r>
              <w:rPr>
                <w:rFonts w:hint="eastAsia" w:ascii="仿宋_GB2312" w:hAnsi="仿宋_GB2312" w:eastAsia="仿宋_GB2312" w:cs="仿宋_GB2312"/>
                <w:spacing w:val="-9"/>
                <w:sz w:val="24"/>
                <w:szCs w:val="24"/>
              </w:rPr>
              <w:t>算：</w:t>
            </w:r>
            <w:r>
              <w:rPr>
                <w:rFonts w:hint="eastAsia" w:ascii="仿宋_GB2312" w:hAnsi="仿宋_GB2312" w:eastAsia="仿宋_GB2312" w:cs="仿宋_GB2312"/>
                <w:spacing w:val="-5"/>
                <w:sz w:val="24"/>
                <w:szCs w:val="24"/>
              </w:rPr>
              <w:t>价格评分=（基准价／评标价）</w:t>
            </w:r>
            <w:r>
              <w:rPr>
                <w:rFonts w:hint="eastAsia" w:ascii="仿宋_GB2312" w:hAnsi="仿宋_GB2312" w:eastAsia="仿宋_GB2312" w:cs="仿宋_GB2312"/>
                <w:spacing w:val="-73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5"/>
                <w:sz w:val="24"/>
                <w:szCs w:val="24"/>
              </w:rPr>
              <w:t>×</w:t>
            </w:r>
            <w:r>
              <w:rPr>
                <w:rFonts w:hint="eastAsia" w:ascii="仿宋_GB2312" w:hAnsi="仿宋_GB2312" w:eastAsia="仿宋_GB2312" w:cs="仿宋_GB2312"/>
                <w:spacing w:val="-5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167" w:type="dxa"/>
            <w:vAlign w:val="center"/>
          </w:tcPr>
          <w:p>
            <w:pPr>
              <w:spacing w:before="91" w:line="181" w:lineRule="auto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</w:p>
    <w:bookmarkEnd w:id="0"/>
    <w:bookmarkEnd w:id="1"/>
    <w:p>
      <w:pPr>
        <w:spacing w:line="360" w:lineRule="auto"/>
        <w:jc w:val="both"/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2098" w:right="1587" w:bottom="1984" w:left="1587" w:header="851" w:footer="709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2429D6B-A4EE-40B6-87F9-F297E54BFB6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4A133F3-A8FD-4E25-9146-D7B63243FB3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298F255-108C-492D-9D74-757B9405990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CA330885-A299-4C9C-BA03-AC0B838C442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1YThjMWI2ZjYyNjkyZWFmMTk2N2Y3NGM0ODJkNzkifQ=="/>
  </w:docVars>
  <w:rsids>
    <w:rsidRoot w:val="643A5B04"/>
    <w:rsid w:val="643A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Normal Indent"/>
    <w:basedOn w:val="1"/>
    <w:next w:val="1"/>
    <w:qFormat/>
    <w:uiPriority w:val="0"/>
    <w:pPr>
      <w:ind w:firstLine="420" w:firstLineChars="200"/>
    </w:p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2024-04-24T02:10:00Z</dcterms:created>
  <dc:creator>Kiko.希</dc:creator>
  <cp:lastModifiedBy>Kiko.希</cp:lastModifiedBy>
  <dcterms:modified xsi:type="dcterms:W3CDTF">2024-04-24T02:48:34Z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A0C79B70175D406585944842E0E27B7B_11</vt:lpwstr>
  </property>
</Properties>
</file>