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</w:pPr>
      <w:bookmarkStart w:id="18" w:name="_GoBack"/>
      <w:bookmarkEnd w:id="18"/>
    </w:p>
    <w:p>
      <w:pPr>
        <w:spacing w:line="360" w:lineRule="auto"/>
        <w:jc w:val="both"/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附件三：评分标准</w:t>
      </w:r>
    </w:p>
    <w:p>
      <w:pPr>
        <w:pStyle w:val="5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分权值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28"/>
          <w:szCs w:val="28"/>
        </w:rPr>
        <w:t>总分为</w:t>
      </w:r>
      <w:r>
        <w:rPr>
          <w:rFonts w:hint="eastAsia" w:ascii="仿宋_GB2312" w:hAnsi="仿宋_GB2312" w:eastAsia="仿宋_GB2312" w:cs="仿宋_GB2312"/>
          <w:b w:val="0"/>
          <w:bCs w:val="0"/>
          <w:spacing w:val="-37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28"/>
          <w:szCs w:val="28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spacing w:val="-48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28"/>
          <w:szCs w:val="28"/>
        </w:rPr>
        <w:t>分，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评分分值分配如下：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37" w:type="dxa"/>
            <w:vAlign w:val="center"/>
          </w:tcPr>
          <w:p>
            <w:pPr>
              <w:spacing w:before="201" w:line="223" w:lineRule="auto"/>
              <w:ind w:left="432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评分项目</w:t>
            </w:r>
          </w:p>
        </w:tc>
        <w:tc>
          <w:tcPr>
            <w:tcW w:w="2237" w:type="dxa"/>
            <w:vAlign w:val="center"/>
          </w:tcPr>
          <w:p>
            <w:pPr>
              <w:spacing w:before="201" w:line="223" w:lineRule="auto"/>
              <w:ind w:left="533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商务评分</w:t>
            </w:r>
          </w:p>
        </w:tc>
        <w:tc>
          <w:tcPr>
            <w:tcW w:w="2237" w:type="dxa"/>
            <w:vAlign w:val="center"/>
          </w:tcPr>
          <w:p>
            <w:pPr>
              <w:spacing w:before="201" w:line="223" w:lineRule="auto"/>
              <w:ind w:left="586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技术评分</w:t>
            </w:r>
          </w:p>
        </w:tc>
        <w:tc>
          <w:tcPr>
            <w:tcW w:w="2237" w:type="dxa"/>
            <w:vAlign w:val="center"/>
          </w:tcPr>
          <w:p>
            <w:pPr>
              <w:spacing w:before="201" w:line="223" w:lineRule="auto"/>
              <w:ind w:left="517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价格评分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7" w:type="dxa"/>
            <w:vAlign w:val="center"/>
          </w:tcPr>
          <w:p>
            <w:pPr>
              <w:spacing w:before="200" w:line="224" w:lineRule="auto"/>
              <w:ind w:left="481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100</w:t>
            </w: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分值</w:t>
            </w:r>
          </w:p>
        </w:tc>
        <w:tc>
          <w:tcPr>
            <w:tcW w:w="2237" w:type="dxa"/>
            <w:vAlign w:val="center"/>
          </w:tcPr>
          <w:p>
            <w:pPr>
              <w:spacing w:before="202" w:line="224" w:lineRule="auto"/>
              <w:ind w:left="767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分</w:t>
            </w:r>
          </w:p>
        </w:tc>
        <w:tc>
          <w:tcPr>
            <w:tcW w:w="2237" w:type="dxa"/>
            <w:vAlign w:val="center"/>
          </w:tcPr>
          <w:p>
            <w:pPr>
              <w:spacing w:before="202" w:line="224" w:lineRule="auto"/>
              <w:ind w:left="829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分</w:t>
            </w:r>
          </w:p>
        </w:tc>
        <w:tc>
          <w:tcPr>
            <w:tcW w:w="2237" w:type="dxa"/>
            <w:vAlign w:val="center"/>
          </w:tcPr>
          <w:p>
            <w:pPr>
              <w:spacing w:before="202" w:line="224" w:lineRule="auto"/>
              <w:ind w:left="775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single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分</w:t>
            </w:r>
          </w:p>
        </w:tc>
      </w:tr>
    </w:tbl>
    <w:p>
      <w:pPr>
        <w:pStyle w:val="3"/>
      </w:pPr>
    </w:p>
    <w:p>
      <w:pPr>
        <w:pStyle w:val="5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Toc24782"/>
      <w:bookmarkStart w:id="1" w:name="_Toc27606"/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商务评分表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080"/>
        <w:gridCol w:w="13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2" w:name="_Toc7853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评审项目</w:t>
            </w:r>
            <w:bookmarkEnd w:id="2"/>
          </w:p>
        </w:tc>
        <w:tc>
          <w:tcPr>
            <w:tcW w:w="4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3" w:name="_Toc17395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  <w:bookmarkEnd w:id="3"/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4" w:name="_Toc16603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  <w:bookmarkEnd w:id="4"/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5" w:name="_Toc14247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6" w:name="_Toc12198"/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服务团队情况</w:t>
            </w:r>
            <w:bookmarkEnd w:id="6"/>
          </w:p>
        </w:tc>
        <w:tc>
          <w:tcPr>
            <w:tcW w:w="4080" w:type="dxa"/>
          </w:tcPr>
          <w:p>
            <w:pPr>
              <w:pStyle w:val="18"/>
              <w:spacing w:before="145" w:line="257" w:lineRule="auto"/>
              <w:ind w:right="95"/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  <w:t>执行团队成员人数不少于5 人，每人得2分，最高得10分；服务团队（包含但不限于项目经理、新媒体推广、后期运维等人员）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  <w:t>（注：项目执行负责人需提供在供应商单位缴纳近 6个月内任意一个月的社保证明）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37" w:type="dxa"/>
          </w:tcPr>
          <w:p>
            <w:pPr>
              <w:spacing w:before="91" w:line="461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同类业绩情况</w:t>
            </w:r>
          </w:p>
        </w:tc>
        <w:tc>
          <w:tcPr>
            <w:tcW w:w="4080" w:type="dxa"/>
          </w:tcPr>
          <w:p>
            <w:pPr>
              <w:pStyle w:val="18"/>
              <w:spacing w:before="121" w:line="262" w:lineRule="auto"/>
              <w:ind w:left="98" w:right="92" w:firstLine="10"/>
              <w:jc w:val="both"/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  <w:t>执行团队需有丰富的平台推广经验，要求提供同类型项目合作类似项目合同以及类似项目案例介绍，每提供 1 个得 3分，最高得15分；不提 供不得分。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  <w:t>（需至少提供合同关键页及盖章页）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7" w:name="_Toc8168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  <w:bookmarkEnd w:id="7"/>
          </w:p>
        </w:tc>
        <w:tc>
          <w:tcPr>
            <w:tcW w:w="6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25分</w:t>
            </w:r>
          </w:p>
        </w:tc>
      </w:tr>
    </w:tbl>
    <w:p>
      <w:pPr>
        <w:pStyle w:val="5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技术评分表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4095"/>
        <w:gridCol w:w="13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8" w:name="_Toc8398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评审项目</w:t>
            </w:r>
            <w:bookmarkEnd w:id="8"/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9" w:name="_Toc5264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  <w:bookmarkEnd w:id="9"/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0" w:name="_Toc1089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  <w:bookmarkEnd w:id="10"/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1" w:name="_Toc18057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2" w:name="_Toc946"/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项目服务方案</w:t>
            </w:r>
            <w:bookmarkEnd w:id="12"/>
          </w:p>
        </w:tc>
        <w:tc>
          <w:tcPr>
            <w:tcW w:w="4095" w:type="dxa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根据供应商对本项目的总体服务方案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包括不限于运营推广、增粉等措施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响应情况进行综合评价：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服务方案详细、合理；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措施可行性高，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完全满足项目要求，得</w:t>
            </w:r>
            <w:r>
              <w:rPr>
                <w:rFonts w:hint="eastAsia" w:ascii="宋体" w:hAnsi="宋体" w:cs="Times New Roman"/>
                <w:color w:val="000000"/>
                <w:szCs w:val="21"/>
                <w:highlight w:val="none"/>
                <w:lang w:val="en-US" w:eastAsia="zh-CN"/>
              </w:rPr>
              <w:t>10-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分；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2.服务方案较详细、较合理；措施具有可行性，满足项目部分要求，得</w:t>
            </w:r>
            <w:r>
              <w:rPr>
                <w:rFonts w:hint="eastAsia" w:ascii="宋体" w:hAnsi="宋体" w:cs="Times New Roman"/>
                <w:color w:val="000000"/>
                <w:szCs w:val="21"/>
                <w:highlight w:val="none"/>
                <w:lang w:val="en-US" w:eastAsia="zh-CN"/>
              </w:rPr>
              <w:t>5-9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服务方案不够详细，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但较合理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；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措施不够合理，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得</w:t>
            </w:r>
            <w:r>
              <w:rPr>
                <w:rFonts w:hint="eastAsia" w:ascii="宋体" w:hAnsi="宋体" w:cs="Times New Roman"/>
                <w:color w:val="000000"/>
                <w:szCs w:val="21"/>
                <w:highlight w:val="none"/>
                <w:lang w:val="en-US" w:eastAsia="zh-CN"/>
              </w:rPr>
              <w:t>1-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分；</w:t>
            </w:r>
          </w:p>
          <w:p>
            <w:pPr>
              <w:pStyle w:val="18"/>
              <w:spacing w:before="145" w:line="257" w:lineRule="auto"/>
              <w:ind w:right="95"/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</w:rPr>
              <w:t>其他或不提供，不得分。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3" w:name="_Toc14945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  <w:bookmarkEnd w:id="13"/>
          </w:p>
        </w:tc>
        <w:tc>
          <w:tcPr>
            <w:tcW w:w="4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15分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5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价格评分表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290"/>
        <w:gridCol w:w="117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4" w:name="_Toc6039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评审项目</w:t>
            </w:r>
            <w:bookmarkEnd w:id="14"/>
          </w:p>
        </w:tc>
        <w:tc>
          <w:tcPr>
            <w:tcW w:w="4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5" w:name="_Toc2856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  <w:bookmarkEnd w:id="15"/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6" w:name="_Toc26221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  <w:bookmarkEnd w:id="16"/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7" w:name="_Toc8804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spacing w:before="91" w:line="223" w:lineRule="auto"/>
              <w:jc w:val="center"/>
              <w:rPr>
                <w:rFonts w:hint="default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  <w:t>价格部分</w:t>
            </w:r>
          </w:p>
        </w:tc>
        <w:tc>
          <w:tcPr>
            <w:tcW w:w="4290" w:type="dxa"/>
            <w:vAlign w:val="center"/>
          </w:tcPr>
          <w:p>
            <w:pPr>
              <w:pStyle w:val="18"/>
              <w:spacing w:before="86" w:line="257" w:lineRule="auto"/>
              <w:ind w:right="103"/>
              <w:jc w:val="both"/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  <w:t>计算价格评分：各有效投标供应商的评标价中，取得最 低者作为基准价，各有效投标供应商的价格评分统一按 照下列公式计算：</w:t>
            </w:r>
          </w:p>
          <w:p>
            <w:pPr>
              <w:spacing w:before="46" w:line="234" w:lineRule="auto"/>
              <w:ind w:right="183"/>
              <w:jc w:val="center"/>
              <w:rPr>
                <w:rFonts w:hint="eastAsia"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5"/>
                <w:w w:val="90"/>
                <w:kern w:val="2"/>
                <w:sz w:val="28"/>
                <w:szCs w:val="28"/>
                <w:lang w:val="en-US" w:eastAsia="zh-CN" w:bidi="ar-SA"/>
              </w:rPr>
              <w:t>价格评分=（基准价／评标价） ×60</w:t>
            </w:r>
          </w:p>
        </w:tc>
        <w:tc>
          <w:tcPr>
            <w:tcW w:w="1170" w:type="dxa"/>
            <w:vAlign w:val="center"/>
          </w:tcPr>
          <w:p>
            <w:pPr>
              <w:spacing w:before="91" w:line="181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outlineLvl w:val="9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注：各项分值及内容可按实际采购项目情况调整</w:t>
      </w:r>
      <w:bookmarkEnd w:id="0"/>
      <w:bookmarkEnd w:id="1"/>
    </w:p>
    <w:sectPr>
      <w:footerReference r:id="rId3" w:type="default"/>
      <w:pgSz w:w="11906" w:h="16838"/>
      <w:pgMar w:top="2098" w:right="1587" w:bottom="1984" w:left="1587" w:header="851" w:footer="709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6D42B9-C967-4906-BC27-4D89D6F2498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55DA5DD-41D4-4466-8A79-1FAF3D0D65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84B927A-DD1C-41D1-AB41-1D7E298A72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987F542-5A94-4697-AA64-FD672DDE234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NDZkZDQ2MWQ4MmY5YTc3NDA3YzU2MDk3MjZjOWUifQ=="/>
  </w:docVars>
  <w:rsids>
    <w:rsidRoot w:val="0A0E78CA"/>
    <w:rsid w:val="04F55751"/>
    <w:rsid w:val="079923C4"/>
    <w:rsid w:val="0A0E78CA"/>
    <w:rsid w:val="0C474FA1"/>
    <w:rsid w:val="125D1B39"/>
    <w:rsid w:val="1E62755C"/>
    <w:rsid w:val="1F467C6F"/>
    <w:rsid w:val="1FDE72C4"/>
    <w:rsid w:val="28352E30"/>
    <w:rsid w:val="2899001E"/>
    <w:rsid w:val="2B595843"/>
    <w:rsid w:val="2EE200C7"/>
    <w:rsid w:val="2FD8767E"/>
    <w:rsid w:val="2FDD2EE6"/>
    <w:rsid w:val="325E7BE3"/>
    <w:rsid w:val="32F961D8"/>
    <w:rsid w:val="35714C5B"/>
    <w:rsid w:val="38FE5C7B"/>
    <w:rsid w:val="3C2348DF"/>
    <w:rsid w:val="49035533"/>
    <w:rsid w:val="4A176D81"/>
    <w:rsid w:val="4FEB6B02"/>
    <w:rsid w:val="518C60C3"/>
    <w:rsid w:val="5534072D"/>
    <w:rsid w:val="553C379F"/>
    <w:rsid w:val="5ADB1DB8"/>
    <w:rsid w:val="5AE22E06"/>
    <w:rsid w:val="5D29112B"/>
    <w:rsid w:val="5F543CEA"/>
    <w:rsid w:val="60C42CA1"/>
    <w:rsid w:val="61300818"/>
    <w:rsid w:val="62995937"/>
    <w:rsid w:val="63E523E1"/>
    <w:rsid w:val="66A504F5"/>
    <w:rsid w:val="67F65BEC"/>
    <w:rsid w:val="68AC1DB1"/>
    <w:rsid w:val="6A7D0007"/>
    <w:rsid w:val="719C3171"/>
    <w:rsid w:val="7B3960C4"/>
    <w:rsid w:val="7EEEA8FB"/>
    <w:rsid w:val="7FA5D43E"/>
    <w:rsid w:val="B9BF4623"/>
    <w:rsid w:val="EDFEE133"/>
    <w:rsid w:val="FF5F0181"/>
    <w:rsid w:val="FFA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Salutation"/>
    <w:basedOn w:val="1"/>
    <w:next w:val="1"/>
    <w:qFormat/>
    <w:uiPriority w:val="0"/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Body Text Indent"/>
    <w:basedOn w:val="1"/>
    <w:autoRedefine/>
    <w:qFormat/>
    <w:uiPriority w:val="0"/>
    <w:pPr>
      <w:tabs>
        <w:tab w:val="left" w:pos="1080"/>
      </w:tabs>
      <w:spacing w:line="360" w:lineRule="auto"/>
      <w:ind w:firstLine="420" w:firstLineChars="200"/>
    </w:pPr>
    <w:rPr>
      <w:rFonts w:ascii="宋体" w:hAnsi="宋体"/>
      <w:szCs w:val="20"/>
    </w:rPr>
  </w:style>
  <w:style w:type="paragraph" w:styleId="7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autoRedefine/>
    <w:qFormat/>
    <w:uiPriority w:val="0"/>
  </w:style>
  <w:style w:type="paragraph" w:styleId="9">
    <w:name w:val="toc 2"/>
    <w:basedOn w:val="1"/>
    <w:next w:val="1"/>
    <w:autoRedefine/>
    <w:qFormat/>
    <w:uiPriority w:val="39"/>
    <w:pPr>
      <w:tabs>
        <w:tab w:val="left" w:pos="567"/>
        <w:tab w:val="right" w:leader="dot" w:pos="8505"/>
        <w:tab w:val="right" w:leader="dot" w:pos="9628"/>
      </w:tabs>
      <w:spacing w:line="440" w:lineRule="exact"/>
    </w:pPr>
  </w:style>
  <w:style w:type="paragraph" w:styleId="10">
    <w:name w:val="Normal (Web)"/>
    <w:basedOn w:val="1"/>
    <w:autoRedefine/>
    <w:unhideWhenUsed/>
    <w:qFormat/>
    <w:uiPriority w:val="0"/>
    <w:rPr>
      <w:sz w:val="24"/>
    </w:rPr>
  </w:style>
  <w:style w:type="paragraph" w:styleId="11">
    <w:name w:val="Title"/>
    <w:basedOn w:val="1"/>
    <w:next w:val="1"/>
    <w:autoRedefine/>
    <w:qFormat/>
    <w:uiPriority w:val="0"/>
    <w:pPr>
      <w:spacing w:before="120" w:after="60" w:line="440" w:lineRule="exact"/>
      <w:jc w:val="center"/>
    </w:pPr>
    <w:rPr>
      <w:rFonts w:ascii="宋体" w:hAnsi="宋体"/>
      <w:bCs/>
      <w:color w:val="FF0000"/>
    </w:rPr>
  </w:style>
  <w:style w:type="paragraph" w:styleId="12">
    <w:name w:val="Body Text First Indent 2"/>
    <w:basedOn w:val="6"/>
    <w:autoRedefine/>
    <w:qFormat/>
    <w:uiPriority w:val="99"/>
    <w:pPr>
      <w:spacing w:after="0" w:line="360" w:lineRule="auto"/>
      <w:ind w:left="0" w:leftChars="0" w:firstLine="420" w:firstLineChars="200"/>
    </w:pPr>
    <w:rPr>
      <w:sz w:val="20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_Style 3"/>
    <w:basedOn w:val="1"/>
    <w:next w:val="17"/>
    <w:autoRedefine/>
    <w:qFormat/>
    <w:uiPriority w:val="0"/>
    <w:pPr>
      <w:ind w:firstLine="420" w:firstLineChars="200"/>
    </w:pPr>
    <w:rPr>
      <w:rFonts w:ascii="等线" w:hAnsi="等线" w:eastAsia="等线" w:cs="Times New Roman"/>
      <w:sz w:val="20"/>
    </w:rPr>
  </w:style>
  <w:style w:type="paragraph" w:customStyle="1" w:styleId="17">
    <w:name w:val="List Paragraph1"/>
    <w:basedOn w:val="1"/>
    <w:autoRedefine/>
    <w:qFormat/>
    <w:uiPriority w:val="99"/>
    <w:pPr>
      <w:ind w:firstLine="420" w:firstLineChars="200"/>
    </w:pPr>
  </w:style>
  <w:style w:type="paragraph" w:customStyle="1" w:styleId="18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1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s21"/>
    <w:autoRedefine/>
    <w:qFormat/>
    <w:uiPriority w:val="0"/>
    <w:rPr>
      <w:rFonts w:hint="default" w:ascii="Times New Roman" w:hAnsi="Times New Roman" w:cs="Times New Roman"/>
      <w:b/>
      <w:color w:val="000000"/>
    </w:rPr>
  </w:style>
  <w:style w:type="paragraph" w:customStyle="1" w:styleId="21">
    <w:name w:val="p3"/>
    <w:basedOn w:val="1"/>
    <w:autoRedefine/>
    <w:qFormat/>
    <w:uiPriority w:val="0"/>
    <w:pPr>
      <w:spacing w:after="160"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6209</Words>
  <Characters>6420</Characters>
  <Lines>0</Lines>
  <Paragraphs>0</Paragraphs>
  <TotalTime>1108</TotalTime>
  <ScaleCrop>false</ScaleCrop>
  <LinksUpToDate>false</LinksUpToDate>
  <CharactersWithSpaces>6748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2024-04-02T14:35:00Z</dcterms:created>
  <dc:creator>cuizheng</dc:creator>
  <cp:lastModifiedBy>杨波</cp:lastModifiedBy>
  <dcterms:modified xsi:type="dcterms:W3CDTF">2024-04-26T07:04:10Z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29146DEC97C2A7779225276625727857_43</vt:lpwstr>
  </property>
</Properties>
</file>