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装修要求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装修</w:t>
      </w:r>
      <w:r>
        <w:rPr>
          <w:rFonts w:hint="eastAsia" w:ascii="仿宋" w:hAnsi="仿宋" w:eastAsia="仿宋" w:cs="仿宋"/>
          <w:sz w:val="28"/>
          <w:szCs w:val="28"/>
        </w:rPr>
        <w:t>范围为南方报业传媒集团茂名记者站二层装修改造。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拆除工程。按照新装修工程需要，对原有的房间、卫生间的墙砖及地砖等全部拆除，少量需要改造的墙体进行拆除，原物业现有的固定柜、门、水电管线均进行拆除。只保留原物业的铝合金窗，进行维修清洗。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三、顶棚，墙面，地面装修材料应选用不燃材料，如果添加易燃材料作底料，必须作消防处理(油防火漆3次)，金属材料作底料应作防腐防锈处理(油防锈漆3次)。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四、主要材料选择及做法: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(一)墙身做法: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1.采编室、办公室、职工之家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走廊、通道、楼梯间:墙身刮腻子粉底两遍，油白色乳胶漆两底两面,面贴成品定制1.2mm厚80mm高哑光面黑钛铝合金踢脚线。无特别注明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墙身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均按此标准执行。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2.茶水区操作台区墙面挂贴400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800白色抛光砖(墙砖完成面高度2800mm)，4mm米白色美缝回填，其余墙面刮腻子粉底两遍，油白色乳胶漆两底两面，面贴成品定制1.2mm厚80mm高哑光面黑钛铝合金踢脚线。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3.员工饭堂墙面刮腻子粉底两遍，油白色乳胶漆两底两面，面贴成品定制1.2mm厚80mm高哑光面香槟金铝合金踢脚线。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.男女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</w:t>
      </w:r>
      <w:r>
        <w:rPr>
          <w:rFonts w:hint="eastAsia" w:ascii="仿宋" w:hAnsi="仿宋" w:eastAsia="仿宋" w:cs="仿宋"/>
          <w:sz w:val="28"/>
          <w:szCs w:val="28"/>
        </w:rPr>
        <w:t>卫生间(墙砖完成面高度2550mm)、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办公室内</w:t>
      </w:r>
      <w:r>
        <w:rPr>
          <w:rFonts w:hint="eastAsia" w:ascii="仿宋" w:hAnsi="仿宋" w:eastAsia="仿宋" w:cs="仿宋"/>
          <w:sz w:val="28"/>
          <w:szCs w:val="28"/>
        </w:rPr>
        <w:t>卫生间(墙砖完成面高度2550mm)、厨房(墙砖完成面高度2600mm)墙面均挂贴400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800白色抛光砖，4厘黑胶回缝剂回填。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.门套及文件柜与地板连接的部位需用适当颜色的建筑密封胶。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注:(1)所有墙面材料及颜色以产品样板为准。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(2)饰面板订造需先编号，按号验收并安装。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(3)墙身需等有关设备安装调试完毕才能施工。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(4)消防栓位，标牌等，必须与墙身施工配合。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（二）天花做法：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1.采编室、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办公室、</w:t>
      </w:r>
      <w:r>
        <w:rPr>
          <w:rFonts w:hint="eastAsia" w:ascii="仿宋" w:hAnsi="仿宋" w:eastAsia="仿宋" w:cs="仿宋"/>
          <w:sz w:val="28"/>
          <w:szCs w:val="28"/>
        </w:rPr>
        <w:t>过道天花均原天花底刮腻子粉底两遍油白色乳胶漆两底两面(所有线管、风管均喷白色乳胶漆)。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2.职工之家天花吊9.5mm石膏板面(轻钢龙骨架)，刮腻子粉底两遍油白色乳胶漆两底两面:原天花底刮腻子粉底两遍油白色乳胶漆两底两面(所有线管、风管均喷白色乳胶漆)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3.采编室1、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采编室5</w:t>
      </w:r>
      <w:r>
        <w:rPr>
          <w:rFonts w:hint="eastAsia" w:ascii="仿宋" w:hAnsi="仿宋" w:eastAsia="仿宋" w:cs="仿宋"/>
          <w:sz w:val="28"/>
          <w:szCs w:val="28"/>
        </w:rPr>
        <w:t>、员工饭堂1、员工饭堂2天花造型均吊9.5m石膏板面(轻钢龙骨架)，刮腻子粉底两遍油白色乳胶漆两底两面。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茶水区、过道天花均吊9.5mm石膏板面(轻钢龙骨架)，刮腻子粉底两遍油白色乳胶漆两底两面:中间造型吊木纹色铝格栅，轻钢龙骨架，原天花底刮腻子粉底两遍油白色乳胶漆两底两面(所有线管、风管均喷白色乳胶漆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5.厨房天花吊1.0厚600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600白色铝扣板(轻钢龙骨架)。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6.男女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</w:t>
      </w:r>
      <w:r>
        <w:rPr>
          <w:rFonts w:hint="eastAsia" w:ascii="仿宋" w:hAnsi="仿宋" w:eastAsia="仿宋" w:cs="仿宋"/>
          <w:sz w:val="28"/>
          <w:szCs w:val="28"/>
        </w:rPr>
        <w:t>卫生间、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办公室内</w:t>
      </w:r>
      <w:r>
        <w:rPr>
          <w:rFonts w:hint="eastAsia" w:ascii="仿宋" w:hAnsi="仿宋" w:eastAsia="仿宋" w:cs="仿宋"/>
          <w:sz w:val="28"/>
          <w:szCs w:val="28"/>
        </w:rPr>
        <w:t>卫生间天花吊1.0厚300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300白色铝扣板(轻钢龙骨架)。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7.吊顶各种结构结合处，均应做到整齐，流畅，无物件或裁边外露。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注:(1)吊顶板须吊顶内各种管线安装调试完后再安装。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(2)灯饰，通风口，检查口等施工必须与吊顶协调配合，大型物体的悬挂系统应与吊顶系统分开。监控器等设备及断口，必须与吊顶衔接得体，安装要吻合。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(3)图纸天花层高和实际层高不符，则根据实际层高作尽高处理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（三）地板做法：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1.各功能室标高详见图纸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2.槛石采用20厚英国棕大理石。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3.男女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</w:t>
      </w:r>
      <w:r>
        <w:rPr>
          <w:rFonts w:hint="eastAsia" w:ascii="仿宋" w:hAnsi="仿宋" w:eastAsia="仿宋" w:cs="仿宋"/>
          <w:sz w:val="28"/>
          <w:szCs w:val="28"/>
        </w:rPr>
        <w:t>卫生间、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办公室内</w:t>
      </w:r>
      <w:r>
        <w:rPr>
          <w:rFonts w:hint="eastAsia" w:ascii="仿宋" w:hAnsi="仿宋" w:eastAsia="仿宋" w:cs="仿宋"/>
          <w:sz w:val="28"/>
          <w:szCs w:val="28"/>
        </w:rPr>
        <w:t>卫生间、无障碍卫生间:地面铺设防水卷材，20厚1:2水泥砂浆找平，再做防水涂料处理，地面、墙身(至1300mm高)均做防水处理(2mm厚聚氨酯防水涂料，扫两遍)，沉箱底部找平、做二次排水、夯实回填:70厚1:2干硬性水泥砂浆找平，10厚素水泥砂浆铺设，铺设600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600浅灰色仿古砖。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4.铺设地板砖:采编室与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</w:rPr>
        <w:t>均铺70厚1:2干硬性水泥砂浆找平，10厚素水泥砂浆铺设800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800浅灰色抛釉砖，2厘回缝剂回填。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5.厨房地面、墙身(至1000mm高)均做防水处理(2mm厚聚氨酯防水涂料，扫两遍)，70厚1:2干硬性水泥砂浆找平，10厚素水泥砂浆铺设，铺设600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×</w:t>
      </w:r>
      <w:r>
        <w:rPr>
          <w:rFonts w:hint="eastAsia" w:ascii="仿宋" w:hAnsi="仿宋" w:eastAsia="仿宋" w:cs="仿宋"/>
          <w:sz w:val="28"/>
          <w:szCs w:val="28"/>
        </w:rPr>
        <w:t>600浅灰色仿古砖。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地面基线:a.基底表面必须平整，四角方正。有地漏和供除液体的基底，其坡度应满足排液体要求。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b.基底构造层(保温层、防潮层、找平层、结合层)的材质、强度、密度必须符合设计要求和施工规范的规定。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c.铺设地毯或其他粘贴面层的基底表面必须平整、光滑、干燥、密实、洁净。不得有裂纹脱皮和起砂。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(四)门窗做法: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1.详见门表。门与地面的缝隙必须低于5mm。每个房间必须要有独立的出入口，以防突发事件。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修缮所有原建筑窗，更换滑轮、胶条、添加润滑油等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四、电照系统: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1.参照天花图，结合天花灯位图纸施工安装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2.灯具、指示牌作法，详见图纸。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3.需消防规范安装应急照明、安全出口、疏散指示灯。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五、所有镀锌方通、角钢架满焊，所有焊接口增加防锈处理，先涂刷防锈漆3道，再涂刷银漆2道。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六、主要材料品牌参考表</w:t>
      </w:r>
    </w:p>
    <w:tbl>
      <w:tblPr>
        <w:tblStyle w:val="4"/>
        <w:tblW w:w="8618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823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编号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项目名称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一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装修部分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1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水泥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石井、海螺、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油城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2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乳胶漆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多乐士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嘉宝莉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立邦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3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墙面、地面砖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奥登堡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格莱美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大角鹿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4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木门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平安门业、平亮安门业、金悦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tabs>
                <w:tab w:val="left" w:pos="473"/>
              </w:tabs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板材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tabs>
                <w:tab w:val="left" w:pos="1251"/>
              </w:tabs>
              <w:jc w:val="lef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利邦安、京泰、伟业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二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水电安装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1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给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排</w:t>
            </w:r>
            <w:r>
              <w:rPr>
                <w:rFonts w:hint="eastAsia" w:ascii="宋体" w:hAnsi="宋体" w:eastAsia="宋体"/>
                <w:sz w:val="20"/>
              </w:rPr>
              <w:t>水管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联塑、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日丰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中财管道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2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洗手盘、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蹲厕、小便器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古美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恒洁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尊龙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空气开关、漏电器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施耐德、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西门子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公牛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4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灯开关、插座、电视电话插座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西门子</w:t>
            </w:r>
            <w:r>
              <w:rPr>
                <w:rFonts w:hint="eastAsia" w:ascii="宋体" w:hAnsi="宋体" w:eastAsia="宋体"/>
                <w:sz w:val="20"/>
              </w:rPr>
              <w:t>、施耐德、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公牛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电线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珠江、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远东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德力西电气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6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网线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康普、西蒙、泛达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7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金属线槽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宏标、番禺宇恒、天虹或其它同档次或以上品牌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8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排气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扇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正野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先锋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奥克斯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9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强电</w:t>
            </w:r>
            <w:r>
              <w:rPr>
                <w:rFonts w:hint="eastAsia" w:ascii="宋体" w:hAnsi="宋体" w:eastAsia="宋体"/>
                <w:sz w:val="20"/>
              </w:rPr>
              <w:t>配电箱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、弱电配电箱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施耐德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西门子</w:t>
            </w:r>
            <w:r>
              <w:rPr>
                <w:rFonts w:hint="eastAsia" w:ascii="宋体" w:hAnsi="宋体" w:eastAsia="宋体"/>
                <w:sz w:val="20"/>
              </w:rPr>
              <w:t>、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公牛</w:t>
            </w:r>
            <w:r>
              <w:rPr>
                <w:rFonts w:hint="eastAsia" w:ascii="宋体" w:hAnsi="宋体" w:eastAsia="宋体"/>
                <w:sz w:val="20"/>
              </w:rPr>
              <w:t>或其它同档次或以上品牌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pStyle w:val="3"/>
        <w:spacing w:after="0"/>
        <w:ind w:left="0" w:leftChars="0" w:firstLine="422" w:firstLineChars="2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  <w:b/>
          <w:szCs w:val="21"/>
          <w:lang w:eastAsia="zh-CN"/>
        </w:rPr>
        <w:t>（</w:t>
      </w:r>
      <w:r>
        <w:rPr>
          <w:rFonts w:hint="eastAsia" w:ascii="宋体" w:hAnsi="宋体" w:eastAsia="宋体"/>
          <w:b/>
          <w:szCs w:val="21"/>
        </w:rPr>
        <w:t>说明：上表中有关材料的品牌，只作为投标单位报价的参考，投标单位可根据图纸要求和有关说明，采用同档次（或以上）的产品，但在实际使用前，应将有关资料报业主审批。</w:t>
      </w:r>
      <w:r>
        <w:rPr>
          <w:rFonts w:hint="eastAsia" w:ascii="宋体" w:hAnsi="宋体" w:eastAsia="宋体"/>
          <w:b/>
          <w:szCs w:val="21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MyMzNjZDg5Yzk3Mjc4OGNiYTA4OGEyYzU2MjUifQ=="/>
  </w:docVars>
  <w:rsids>
    <w:rsidRoot w:val="00000000"/>
    <w:rsid w:val="188A4AF9"/>
    <w:rsid w:val="1B3B460C"/>
    <w:rsid w:val="26E71DC7"/>
    <w:rsid w:val="31DD2E58"/>
    <w:rsid w:val="5F654402"/>
    <w:rsid w:val="60B03E9F"/>
    <w:rsid w:val="65CD248A"/>
    <w:rsid w:val="688C639A"/>
    <w:rsid w:val="76B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autoRedefine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2024-04-23T01:59:00Z</dcterms:created>
  <dc:creator>HUAWEI</dc:creator>
  <cp:lastModifiedBy>刘'俊</cp:lastModifiedBy>
  <dcterms:modified xsi:type="dcterms:W3CDTF">2024-04-25T02:11:20Z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3D67A479779F49DEBD066602DA7C389A_12</vt:lpwstr>
  </property>
</Properties>
</file>