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3F6D">
      <w:pPr>
        <w:spacing w:line="360" w:lineRule="auto"/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附件三：评分标准</w:t>
      </w:r>
    </w:p>
    <w:p w14:paraId="068BC57B">
      <w:pPr>
        <w:pStyle w:val="3"/>
        <w:spacing w:before="91" w:line="223" w:lineRule="auto"/>
        <w:ind w:left="558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（1）分权值：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总分为</w:t>
      </w:r>
      <w:r>
        <w:rPr>
          <w:rFonts w:hint="eastAsia" w:ascii="仿宋_GB2312" w:hAnsi="仿宋_GB2312" w:eastAsia="仿宋_GB2312" w:cs="仿宋_GB2312"/>
          <w:spacing w:val="-3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pacing w:val="-4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分，评分分值分配如下：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140"/>
        <w:gridCol w:w="2140"/>
        <w:gridCol w:w="2140"/>
      </w:tblGrid>
      <w:tr w14:paraId="6F00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37" w:type="dxa"/>
            <w:vAlign w:val="center"/>
          </w:tcPr>
          <w:p w14:paraId="5577707D">
            <w:pPr>
              <w:spacing w:before="201" w:line="223" w:lineRule="auto"/>
              <w:ind w:left="43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评分项目</w:t>
            </w:r>
          </w:p>
        </w:tc>
        <w:tc>
          <w:tcPr>
            <w:tcW w:w="2237" w:type="dxa"/>
            <w:vAlign w:val="center"/>
          </w:tcPr>
          <w:p w14:paraId="2E025535">
            <w:pPr>
              <w:spacing w:before="201" w:line="223" w:lineRule="auto"/>
              <w:ind w:left="5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商务评分</w:t>
            </w:r>
          </w:p>
        </w:tc>
        <w:tc>
          <w:tcPr>
            <w:tcW w:w="2237" w:type="dxa"/>
            <w:vAlign w:val="center"/>
          </w:tcPr>
          <w:p w14:paraId="1EF43F25">
            <w:pPr>
              <w:spacing w:before="201" w:line="223" w:lineRule="auto"/>
              <w:ind w:left="58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技术评分</w:t>
            </w:r>
          </w:p>
        </w:tc>
        <w:tc>
          <w:tcPr>
            <w:tcW w:w="2237" w:type="dxa"/>
            <w:vAlign w:val="center"/>
          </w:tcPr>
          <w:p w14:paraId="222A9BB0">
            <w:pPr>
              <w:spacing w:before="201" w:line="223" w:lineRule="auto"/>
              <w:ind w:left="51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价格评分</w:t>
            </w:r>
          </w:p>
        </w:tc>
      </w:tr>
      <w:tr w14:paraId="4A36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7" w:type="dxa"/>
            <w:vAlign w:val="center"/>
          </w:tcPr>
          <w:p w14:paraId="3068189D">
            <w:pPr>
              <w:spacing w:before="202" w:line="224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100分值</w:t>
            </w:r>
          </w:p>
        </w:tc>
        <w:tc>
          <w:tcPr>
            <w:tcW w:w="2237" w:type="dxa"/>
            <w:vAlign w:val="center"/>
          </w:tcPr>
          <w:p w14:paraId="2656C29E">
            <w:pPr>
              <w:spacing w:before="202" w:line="224" w:lineRule="auto"/>
              <w:ind w:left="775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35分</w:t>
            </w:r>
          </w:p>
        </w:tc>
        <w:tc>
          <w:tcPr>
            <w:tcW w:w="2237" w:type="dxa"/>
            <w:vAlign w:val="center"/>
          </w:tcPr>
          <w:p w14:paraId="036AC8CB">
            <w:pPr>
              <w:spacing w:before="202" w:line="224" w:lineRule="auto"/>
              <w:ind w:left="775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40分</w:t>
            </w:r>
          </w:p>
        </w:tc>
        <w:tc>
          <w:tcPr>
            <w:tcW w:w="2237" w:type="dxa"/>
            <w:vAlign w:val="center"/>
          </w:tcPr>
          <w:p w14:paraId="1E2FFE56">
            <w:pPr>
              <w:spacing w:before="202" w:line="224" w:lineRule="auto"/>
              <w:ind w:left="77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25分</w:t>
            </w:r>
          </w:p>
        </w:tc>
      </w:tr>
    </w:tbl>
    <w:p w14:paraId="453387FB">
      <w:pPr>
        <w:pStyle w:val="2"/>
      </w:pPr>
    </w:p>
    <w:p w14:paraId="56E80F53">
      <w:pPr>
        <w:pStyle w:val="3"/>
        <w:spacing w:before="91" w:line="223" w:lineRule="auto"/>
        <w:ind w:left="558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Toc27606"/>
      <w:bookmarkStart w:id="1" w:name="_Toc24782"/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（2）商务评分表：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714"/>
        <w:gridCol w:w="972"/>
        <w:gridCol w:w="1085"/>
      </w:tblGrid>
      <w:tr w14:paraId="567C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</w:tcPr>
          <w:p w14:paraId="21A50581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7853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评审项目</w:t>
            </w:r>
            <w:bookmarkEnd w:id="2"/>
          </w:p>
        </w:tc>
        <w:tc>
          <w:tcPr>
            <w:tcW w:w="4714" w:type="dxa"/>
          </w:tcPr>
          <w:p w14:paraId="5BD76477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" w:name="_Toc17395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评分标准</w:t>
            </w:r>
            <w:bookmarkEnd w:id="3"/>
          </w:p>
        </w:tc>
        <w:tc>
          <w:tcPr>
            <w:tcW w:w="972" w:type="dxa"/>
          </w:tcPr>
          <w:p w14:paraId="0998E31F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" w:name="_Toc16603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  <w:bookmarkEnd w:id="4"/>
          </w:p>
        </w:tc>
        <w:tc>
          <w:tcPr>
            <w:tcW w:w="1085" w:type="dxa"/>
          </w:tcPr>
          <w:p w14:paraId="1CAB9F9D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5" w:name="_Toc14247"/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</w:t>
            </w:r>
            <w:bookmarkEnd w:id="5"/>
          </w:p>
        </w:tc>
      </w:tr>
      <w:tr w14:paraId="2048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751" w:type="dxa"/>
            <w:vAlign w:val="center"/>
          </w:tcPr>
          <w:p w14:paraId="51BFE05D">
            <w:pPr>
              <w:spacing w:before="91" w:line="461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供应商综合实力（5分）</w:t>
            </w:r>
          </w:p>
        </w:tc>
        <w:tc>
          <w:tcPr>
            <w:tcW w:w="4714" w:type="dxa"/>
            <w:vAlign w:val="center"/>
          </w:tcPr>
          <w:p w14:paraId="21BCD362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1.供应商具有有效期内的质量管理体系认证证书，得3分。</w:t>
            </w:r>
          </w:p>
          <w:p w14:paraId="1096C8F8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2.具有信息技术服务运行维护服务能力成熟度（ITSS）证书（三级及以上）的，得2分。</w:t>
            </w:r>
          </w:p>
          <w:p w14:paraId="0001ECA6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注：提供有效期内的证书扫描件并加盖公章，不符合或无提供不得分。</w:t>
            </w:r>
          </w:p>
        </w:tc>
        <w:tc>
          <w:tcPr>
            <w:tcW w:w="972" w:type="dxa"/>
            <w:vAlign w:val="center"/>
          </w:tcPr>
          <w:p w14:paraId="5A5EBFE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5" w:type="dxa"/>
          </w:tcPr>
          <w:p w14:paraId="02C112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8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751" w:type="dxa"/>
            <w:vAlign w:val="center"/>
          </w:tcPr>
          <w:p w14:paraId="35125BE6">
            <w:pPr>
              <w:spacing w:before="91" w:line="461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拟投入本项目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人员情况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4714" w:type="dxa"/>
            <w:vAlign w:val="center"/>
          </w:tcPr>
          <w:p w14:paraId="296C51E6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1.本项目项目经理（1人）具有同类服务经验(同类服务经验是指网站新媒体考评、日常监测或运营类服务经验）：</w:t>
            </w:r>
          </w:p>
          <w:p w14:paraId="49EB5F41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1）项目经理具有10年（含）以上工作经验得4分；</w:t>
            </w:r>
          </w:p>
          <w:p w14:paraId="311F1F31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2）具有7年（含）-10年工作经验得3分；</w:t>
            </w:r>
          </w:p>
          <w:p w14:paraId="34985ABD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3）具有5年（含）-7年工作经验得2分；</w:t>
            </w:r>
          </w:p>
          <w:p w14:paraId="7501300D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4）具有5年以下工作经验得1分。</w:t>
            </w:r>
          </w:p>
          <w:p w14:paraId="348CB985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2.项目经理具有国家信息安全水平证书(一级)的，得1分。</w:t>
            </w:r>
          </w:p>
          <w:p w14:paraId="0E60A633">
            <w:pPr>
              <w:pStyle w:val="3"/>
              <w:snapToGrid w:val="0"/>
              <w:spacing w:after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3.服务团队中（除项目经理外），具有同类型项目经验的相关人员的，每提供1个与本项目相关的工作经验得1分，此小项最多得3分。 </w:t>
            </w:r>
          </w:p>
          <w:p w14:paraId="6A5B1627">
            <w:pPr>
              <w:pStyle w:val="3"/>
              <w:snapToGrid w:val="0"/>
              <w:spacing w:after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4.服务团队中(除项目经理外)具有本科或以上学历，且同时具有计算机技术与软件专业技术资格（水平）中级（或高级）证书或大数据分析师（高级）证书的，每提供一人得0.5分，此项最高得2分。</w:t>
            </w:r>
          </w:p>
          <w:p w14:paraId="4F758B72">
            <w:pPr>
              <w:pStyle w:val="3"/>
              <w:snapToGrid w:val="0"/>
              <w:spacing w:after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注：须同时提供以上人员相关证书、项目工作经验证明材料扫描件和本项目询价截止时间前6个月内任一个月的在职社保证明材料，不提供不得分。</w:t>
            </w:r>
          </w:p>
        </w:tc>
        <w:tc>
          <w:tcPr>
            <w:tcW w:w="972" w:type="dxa"/>
            <w:vAlign w:val="center"/>
          </w:tcPr>
          <w:p w14:paraId="42C977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5" w:type="dxa"/>
          </w:tcPr>
          <w:p w14:paraId="549C27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7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1" w:type="dxa"/>
            <w:vAlign w:val="center"/>
          </w:tcPr>
          <w:p w14:paraId="567820A8">
            <w:pPr>
              <w:spacing w:before="91" w:line="461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业绩及客户评价(10分)</w:t>
            </w:r>
          </w:p>
        </w:tc>
        <w:tc>
          <w:tcPr>
            <w:tcW w:w="4714" w:type="dxa"/>
            <w:vAlign w:val="center"/>
          </w:tcPr>
          <w:p w14:paraId="6AF909C1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1.供应商2022年1月以来承接新媒体考评或监测类项目经验（以合同签订时间为准），每提供一个得2分，本项最高得8分。分支机构投标的,总公司(总所)业绩可纳入评审。 </w:t>
            </w:r>
          </w:p>
          <w:p w14:paraId="4A54AAE2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注：证明材料须提供合同关键页扫描件，合同关键页至少包含首页、项目金额页和盖章签字页，未按要求提供的不得分。</w:t>
            </w:r>
          </w:p>
          <w:p w14:paraId="7CC3A85A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2.提供考评或监测类项目的用户反馈情况，且用户反馈良好（提供用户证明材料并加盖供应商公章）的，每个得0.5分，最多2分。</w:t>
            </w:r>
          </w:p>
        </w:tc>
        <w:tc>
          <w:tcPr>
            <w:tcW w:w="972" w:type="dxa"/>
            <w:vAlign w:val="center"/>
          </w:tcPr>
          <w:p w14:paraId="03119B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5" w:type="dxa"/>
          </w:tcPr>
          <w:p w14:paraId="34E814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D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1" w:type="dxa"/>
            <w:vAlign w:val="center"/>
          </w:tcPr>
          <w:p w14:paraId="06BF5798">
            <w:pPr>
              <w:spacing w:before="91" w:line="461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6" w:name="_Toc8168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投入本项目使用的工具情况(10分)</w:t>
            </w:r>
          </w:p>
        </w:tc>
        <w:tc>
          <w:tcPr>
            <w:tcW w:w="4714" w:type="dxa"/>
            <w:vAlign w:val="center"/>
          </w:tcPr>
          <w:p w14:paraId="2496BAC5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具有本项目相关计算机软件著作权登记证书，含“错别字检测”“信息采集”“检查评分”“绩效管理评测”“大数据”“行为分析”“影响力评价”“知识管理”等之一的类似关键词，每提供一类得2分。相同关键词的视为同一类别不重复得分，本项最多得10分。</w:t>
            </w:r>
          </w:p>
          <w:p w14:paraId="656323AC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注：须提供证书扫描件（或提供购买、租赁、授权等其他形式的工具使用证明材料）并加盖供应商公章，同一名称不同版本号的证书只算一个，同一个类别只计分一次。</w:t>
            </w:r>
          </w:p>
        </w:tc>
        <w:tc>
          <w:tcPr>
            <w:tcW w:w="972" w:type="dxa"/>
            <w:vAlign w:val="center"/>
          </w:tcPr>
          <w:p w14:paraId="3B7362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5" w:type="dxa"/>
          </w:tcPr>
          <w:p w14:paraId="3C0395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8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5" w:type="dxa"/>
            <w:gridSpan w:val="2"/>
          </w:tcPr>
          <w:p w14:paraId="33462E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  <w:bookmarkEnd w:id="6"/>
          </w:p>
        </w:tc>
        <w:tc>
          <w:tcPr>
            <w:tcW w:w="972" w:type="dxa"/>
          </w:tcPr>
          <w:p w14:paraId="7E50D06C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5" w:type="dxa"/>
          </w:tcPr>
          <w:p w14:paraId="24DD3B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B3AC55">
      <w:pPr>
        <w:pStyle w:val="2"/>
      </w:pPr>
    </w:p>
    <w:p w14:paraId="4C568EC9">
      <w:pPr>
        <w:pStyle w:val="3"/>
        <w:spacing w:before="91" w:line="223" w:lineRule="auto"/>
        <w:ind w:left="558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（3）技术评分表：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4542"/>
        <w:gridCol w:w="981"/>
        <w:gridCol w:w="1074"/>
      </w:tblGrid>
      <w:tr w14:paraId="62E5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 w14:paraId="6D88D1FC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7" w:name="_Toc8398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评审项目</w:t>
            </w:r>
            <w:bookmarkEnd w:id="7"/>
          </w:p>
        </w:tc>
        <w:tc>
          <w:tcPr>
            <w:tcW w:w="4542" w:type="dxa"/>
            <w:vAlign w:val="center"/>
          </w:tcPr>
          <w:p w14:paraId="12BBC974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8" w:name="_Toc526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评分标准</w:t>
            </w:r>
            <w:bookmarkEnd w:id="8"/>
          </w:p>
        </w:tc>
        <w:tc>
          <w:tcPr>
            <w:tcW w:w="981" w:type="dxa"/>
            <w:vAlign w:val="center"/>
          </w:tcPr>
          <w:p w14:paraId="48C10E3D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9" w:name="_Toc1089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  <w:bookmarkEnd w:id="9"/>
          </w:p>
        </w:tc>
        <w:tc>
          <w:tcPr>
            <w:tcW w:w="1074" w:type="dxa"/>
            <w:vAlign w:val="center"/>
          </w:tcPr>
          <w:p w14:paraId="7B1D38E4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0" w:name="_Toc18057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</w:t>
            </w:r>
            <w:bookmarkEnd w:id="10"/>
          </w:p>
        </w:tc>
      </w:tr>
      <w:tr w14:paraId="03C2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25" w:type="dxa"/>
            <w:vAlign w:val="center"/>
          </w:tcPr>
          <w:p w14:paraId="4C645CCA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对本项目的理解程度(5分)</w:t>
            </w:r>
          </w:p>
          <w:p w14:paraId="4608525B">
            <w:pPr>
              <w:outlineLvl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2" w:type="dxa"/>
            <w:vAlign w:val="center"/>
          </w:tcPr>
          <w:p w14:paraId="3364EBD3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针对本项目建设背景、工作目标、政策认识、理解和现状分析的理解程度进行综合评审：</w:t>
            </w:r>
          </w:p>
          <w:p w14:paraId="6A96E11F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对本项目建设背景、工作目标、政策认识、理解和现状分析的理解深入、透彻、清晰，完全满足并优于采购需求，得5分；</w:t>
            </w:r>
          </w:p>
          <w:p w14:paraId="71147747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对本项目建设背景、工作目标、政策认识、理解和现状分析的理解较详细、较为清晰，基本满足采购需求，得3分；</w:t>
            </w:r>
          </w:p>
          <w:p w14:paraId="6E3955ED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对本项目建设背景、工作目标、政策认识、理解和现状分析的理解一般，阐述较为笼统，部分满足采购需求，得2分；</w:t>
            </w:r>
          </w:p>
          <w:p w14:paraId="593A4075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对本项目建设背景、工作目标、政策认识、理解和现状分析的理解存在欠缺，存在严重的偏差，不能满足采购需求，得1分;</w:t>
            </w:r>
          </w:p>
          <w:p w14:paraId="2A765A6C">
            <w:pPr>
              <w:numPr>
                <w:ilvl w:val="255"/>
                <w:numId w:val="0"/>
              </w:numPr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未提供相关内容则不得分。</w:t>
            </w:r>
          </w:p>
        </w:tc>
        <w:tc>
          <w:tcPr>
            <w:tcW w:w="981" w:type="dxa"/>
            <w:vAlign w:val="center"/>
          </w:tcPr>
          <w:p w14:paraId="2C14064D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4" w:type="dxa"/>
            <w:vAlign w:val="center"/>
          </w:tcPr>
          <w:p w14:paraId="5F346054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C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5" w:type="dxa"/>
            <w:vAlign w:val="center"/>
          </w:tcPr>
          <w:p w14:paraId="4C90E206">
            <w:pPr>
              <w:outlineLvl w:val="0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总体实施方案(20分)</w:t>
            </w:r>
          </w:p>
        </w:tc>
        <w:tc>
          <w:tcPr>
            <w:tcW w:w="4542" w:type="dxa"/>
            <w:vAlign w:val="center"/>
          </w:tcPr>
          <w:p w14:paraId="6AEA8CC2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针对本项目的总体实施方案进行综合评审：</w:t>
            </w:r>
          </w:p>
          <w:p w14:paraId="2B22CB36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实施方案规划详细、科学合理、契合实际情况，符合项目进度要求，项目管理架构清晰，可行性较高，得20分；</w:t>
            </w:r>
          </w:p>
          <w:p w14:paraId="551E32E0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实施方案规划较详细、合理，基本契合实际情况，符合项目进度要求，项目管理架构较为清晰，具有一定可行性，得15分；</w:t>
            </w:r>
          </w:p>
          <w:p w14:paraId="6F5593A5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实施方案规划一般，内容较为笼统，上述所列的内容要点存在欠缺，需进一步细化才能满足实际需求，可行性一般，得10分；</w:t>
            </w:r>
          </w:p>
          <w:p w14:paraId="08C5DF0B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实施方案内容不完善，无法有效体现上述所列各要点或存在严重的偏差，与项目要求关联性差，可操作性较差，得5分；</w:t>
            </w:r>
          </w:p>
          <w:p w14:paraId="7A3C223F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未提供相关内容则不得分。</w:t>
            </w:r>
          </w:p>
        </w:tc>
        <w:tc>
          <w:tcPr>
            <w:tcW w:w="981" w:type="dxa"/>
            <w:vAlign w:val="center"/>
          </w:tcPr>
          <w:p w14:paraId="3E8F1943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4" w:type="dxa"/>
            <w:vAlign w:val="center"/>
          </w:tcPr>
          <w:p w14:paraId="0FC69F17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9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25" w:type="dxa"/>
            <w:vAlign w:val="center"/>
          </w:tcPr>
          <w:p w14:paraId="43EAAB75">
            <w:pPr>
              <w:outlineLvl w:val="0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对重点难点问题的阐述和解决方案（10分）</w:t>
            </w:r>
          </w:p>
        </w:tc>
        <w:tc>
          <w:tcPr>
            <w:tcW w:w="4542" w:type="dxa"/>
            <w:vAlign w:val="center"/>
          </w:tcPr>
          <w:p w14:paraId="75F3BAFE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针对本项目的重点难点问题的阐述和解决方案进行综合评审：</w:t>
            </w:r>
          </w:p>
          <w:p w14:paraId="6DEF6B6E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对重点难点问题的阐述深入、透彻、清晰，提出的解决方案合理可行，得10分；</w:t>
            </w:r>
          </w:p>
          <w:p w14:paraId="4CB7B375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对重点难点问题的阐述较详细、合理，提出的解决方案基本契合实际情况，符合项目进度要求，具有一定可行性，得7分；</w:t>
            </w:r>
          </w:p>
          <w:p w14:paraId="3DDBB009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对重点难点问题的阐述一般，内容较为笼统，上述所列的内容要点存在欠缺，提出的解决方案需进一步细化才能满足实际需求，可行性一般，得4分；</w:t>
            </w:r>
          </w:p>
          <w:p w14:paraId="3F938195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对重点难点问题的阐述不完善，无法有效体现上述所列各要点或存在严重的偏差，提出的解决方案可操作性较差，得1分；</w:t>
            </w:r>
          </w:p>
          <w:p w14:paraId="55F76C62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未提供相关内容则不得分。</w:t>
            </w:r>
          </w:p>
        </w:tc>
        <w:tc>
          <w:tcPr>
            <w:tcW w:w="981" w:type="dxa"/>
            <w:vAlign w:val="center"/>
          </w:tcPr>
          <w:p w14:paraId="298323CF">
            <w:pPr>
              <w:numPr>
                <w:ilvl w:val="255"/>
                <w:numId w:val="0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4" w:type="dxa"/>
            <w:vAlign w:val="center"/>
          </w:tcPr>
          <w:p w14:paraId="3D956E58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4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925" w:type="dxa"/>
            <w:vAlign w:val="center"/>
          </w:tcPr>
          <w:p w14:paraId="6FE7CEEB">
            <w:pPr>
              <w:outlineLvl w:val="0"/>
              <w:rPr>
                <w:rFonts w:hint="eastAsia" w:ascii="仿宋" w:hAnsi="仿宋" w:eastAsia="仿宋" w:cs="仿宋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质量保证管理方案(5分)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4542" w:type="dxa"/>
            <w:vAlign w:val="center"/>
          </w:tcPr>
          <w:p w14:paraId="4AED6895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针对质量保证管理方案进行综合评审：</w:t>
            </w:r>
          </w:p>
          <w:p w14:paraId="43929DCE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方案完整具体，科学合理，针对性强，提供了切实可行的服务质量保障措施和手段，得5分；</w:t>
            </w:r>
          </w:p>
          <w:p w14:paraId="1AD35F79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方案较完整具体，具有一定的科学和合理性、针对性，提供了可行的质量保障措施和手段，但方案内容存在细微缺陷，得3分；</w:t>
            </w:r>
          </w:p>
          <w:p w14:paraId="41BBC7B4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方案基本完整但欠具体，或存在较大缺陷，不具备针对性，缺乏可行性，得2分；</w:t>
            </w:r>
          </w:p>
          <w:p w14:paraId="1BB3DE0D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方案不完善，无法有效体现上述所列各要点或存在严重的偏差，可操作性较差，得1分；</w:t>
            </w:r>
          </w:p>
          <w:p w14:paraId="1E93A8D8">
            <w:pPr>
              <w:numPr>
                <w:ilvl w:val="255"/>
                <w:numId w:val="0"/>
              </w:num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未提供相关内容则不得分。</w:t>
            </w:r>
          </w:p>
        </w:tc>
        <w:tc>
          <w:tcPr>
            <w:tcW w:w="981" w:type="dxa"/>
            <w:vAlign w:val="center"/>
          </w:tcPr>
          <w:p w14:paraId="0CC9043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4" w:type="dxa"/>
            <w:vAlign w:val="center"/>
          </w:tcPr>
          <w:p w14:paraId="764600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E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7" w:type="dxa"/>
            <w:gridSpan w:val="2"/>
            <w:vAlign w:val="center"/>
          </w:tcPr>
          <w:p w14:paraId="6F0A1C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1" w:name="_Toc14945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</w:t>
            </w:r>
            <w:bookmarkEnd w:id="11"/>
          </w:p>
        </w:tc>
        <w:tc>
          <w:tcPr>
            <w:tcW w:w="981" w:type="dxa"/>
            <w:vAlign w:val="center"/>
          </w:tcPr>
          <w:p w14:paraId="28F91208"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074" w:type="dxa"/>
            <w:vAlign w:val="center"/>
          </w:tcPr>
          <w:p w14:paraId="505B69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18C8B3E2">
      <w:pPr>
        <w:pStyle w:val="3"/>
        <w:spacing w:before="91" w:line="223" w:lineRule="auto"/>
        <w:ind w:left="558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（4）价格评分表：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4425"/>
        <w:gridCol w:w="971"/>
        <w:gridCol w:w="1190"/>
      </w:tblGrid>
      <w:tr w14:paraId="4305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 w14:paraId="458A7CD7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2" w:name="_Toc6039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评审项目</w:t>
            </w:r>
            <w:bookmarkEnd w:id="12"/>
          </w:p>
        </w:tc>
        <w:tc>
          <w:tcPr>
            <w:tcW w:w="4425" w:type="dxa"/>
          </w:tcPr>
          <w:p w14:paraId="3214C221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3" w:name="_Toc2856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评分标准</w:t>
            </w:r>
            <w:bookmarkEnd w:id="13"/>
          </w:p>
        </w:tc>
        <w:tc>
          <w:tcPr>
            <w:tcW w:w="971" w:type="dxa"/>
          </w:tcPr>
          <w:p w14:paraId="254E6F2D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4" w:name="_Toc26221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分值</w:t>
            </w:r>
            <w:bookmarkEnd w:id="14"/>
          </w:p>
        </w:tc>
        <w:tc>
          <w:tcPr>
            <w:tcW w:w="1190" w:type="dxa"/>
          </w:tcPr>
          <w:p w14:paraId="1CB7AB1C">
            <w:pPr>
              <w:spacing w:line="91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15" w:name="_Toc880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</w:t>
            </w:r>
            <w:bookmarkEnd w:id="15"/>
          </w:p>
        </w:tc>
      </w:tr>
      <w:tr w14:paraId="31DD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vAlign w:val="center"/>
          </w:tcPr>
          <w:p w14:paraId="31CEFB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价格部分</w:t>
            </w:r>
          </w:p>
        </w:tc>
        <w:tc>
          <w:tcPr>
            <w:tcW w:w="4425" w:type="dxa"/>
            <w:vAlign w:val="center"/>
          </w:tcPr>
          <w:p w14:paraId="2956AFD2">
            <w:pPr>
              <w:adjustRightInd w:val="0"/>
              <w:snapToGrid w:val="0"/>
              <w:ind w:right="183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计算价格评分：各有效投标供应商的评标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价中，取得最低者作为基准价，各有效投标供应商的价格评分统一按照下列公式计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算：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价格评分=（基准价／评标价）</w:t>
            </w:r>
            <w:r>
              <w:rPr>
                <w:rFonts w:hint="eastAsia" w:ascii="仿宋_GB2312" w:hAnsi="仿宋_GB2312" w:eastAsia="仿宋_GB2312" w:cs="仿宋_GB2312"/>
                <w:spacing w:val="-7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×25</w:t>
            </w:r>
          </w:p>
        </w:tc>
        <w:tc>
          <w:tcPr>
            <w:tcW w:w="971" w:type="dxa"/>
            <w:vAlign w:val="center"/>
          </w:tcPr>
          <w:p w14:paraId="6B687DE2">
            <w:pPr>
              <w:spacing w:before="91" w:line="18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190" w:type="dxa"/>
            <w:vAlign w:val="center"/>
          </w:tcPr>
          <w:p w14:paraId="1D3549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B324D55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bookmarkEnd w:id="0"/>
      <w:bookmarkEnd w:id="1"/>
      <w:r>
        <w:rPr>
          <w:rFonts w:hint="eastAsia" w:ascii="仿宋_GB2312" w:hAnsi="仿宋_GB2312" w:eastAsia="仿宋_GB2312" w:cs="仿宋_GB2312"/>
          <w:b/>
          <w:bCs/>
          <w:sz w:val="24"/>
        </w:rPr>
        <w:t>本项目商务部分设置评分基准线。若投标人的商务评分低于基准线，其投标应答将被视为存在重大商务技术偏差，则报价无效，不进入技术部分评审。</w:t>
      </w:r>
    </w:p>
    <w:p w14:paraId="76B4DD82"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商务评分基准线=本项目商务部分分值×60%（即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/>
          <w:bCs/>
          <w:sz w:val="24"/>
        </w:rPr>
        <w:t>×60%=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分）</w:t>
      </w:r>
    </w:p>
    <w:p w14:paraId="0F1EDACE"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2025-03-24T01:30:01Z</dcterms:created>
  <dc:creator>zhangyvc</dc:creator>
  <cp:lastModifiedBy>肖冬冬妈妈</cp:lastModifiedBy>
  <dcterms:modified xsi:type="dcterms:W3CDTF">2025-03-24T01:30:04Z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eyJoZGlkIjoiMDY4OGZjYWVkZDdkMmQzNDY0ODdmMTYzMTZhMzcwMzQiLCJ1c2VySWQiOiIzMzI1MDkzNTYifQ==</vt:lpwstr>
  </property>
  <property fmtid="{D5CDD505-2E9C-101B-9397-08002B2CF9AE}" pid="4" name="ICV">
    <vt:lpwstr>A4D6EFCD2F2D4FECB611239ACA5AFF91_12</vt:lpwstr>
  </property>
</Properties>
</file>